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弘则市场漫谈 _ 国债危机和大类资产选择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国债收益率 长端 美债 期限溢价 日本 美国 加息预期 经济复苏 货币政策 财政紧缩 通胀 黄金 比特币 汇率 赤字率 资产负债表 大类资产 日债 财政 央行购金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全球经济形势与金融市场面临多重挑战，尤其受全球主要发达国家国债收益率上行影响，市场波动加剧。这一趋势源于对财政可持续性的担忧与货币政策的不确定性，特别是美国、日本等国的财政状况引发市场关注。分析指出，国债收益率上行对权益资产、黄金、比特币等大类资产产生显著影响，黄金因其避险属性成为对冲信用风险的优选，而权益市场面临潜在挑战，需警惕“九七”风险因子。美债与日债收益率上行可能引发汇率波动、通胀压力及流动性收紧，对全球贸易与金融市场产生连锁反应。针对A股市场，强调在当前复杂环境下，结构性投资机会的重要性。整体而言，对话深入探讨了全球经济与金融市场现状，提出投资策略与风险考量，凸显了在全球不确定性增加背景下，有效资产配置与风险控制的必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大类资产与宏观情景探讨：国债收益率上行与市场扰动</w:t>
      </w:r>
    </w:p>
    <w:p>
      <w:r>
        <w:rPr>
          <w:rFonts w:ascii="等线(中文正文)" w:hAnsi="等线(中文正文)" w:cs="等线(中文正文)" w:eastAsia="等线(中文正文)"/>
          <w:b w:val="false"/>
          <w:i w:val="false"/>
          <w:sz w:val="20"/>
        </w:rPr>
        <w:t>周日晚上，一群金融分析师和投资者围绕近期全球主要发达国家长端国债收益率上行引发的市场扰动展开讨论。他们重点关注了这一现象对权益资产、黄金价格及比特币波动的影响。讨论中，参与者指出当前的情景与历史上的国债收益率上行不同，需要从更底层的角度理解市场变化，而非简单类比历史。他们强调，当前的宏观情景并非前所未见，但需要以全新的视角去解读和应对。</w:t>
      </w:r>
    </w:p>
    <w:p>
      <w:r>
        <w:rPr>
          <w:rFonts w:ascii="等线(中文正文)" w:hAnsi="等线(中文正文)" w:cs="等线(中文正文)" w:eastAsia="等线(中文正文)"/>
          <w:b w:val="false"/>
          <w:i w:val="false"/>
          <w:sz w:val="20"/>
        </w:rPr>
        <w:t/>
      </w:r>
    </w:p>
    <w:p>
      <w:pPr>
        <w:pStyle w:val="ab"/>
        <w:numPr>
          <w:numId w:val="2"/>
        </w:numPr>
      </w:pPr>
      <w:r>
        <w:t>02:16 全球国债收益率上行背后的驱动因素分析</w:t>
      </w:r>
    </w:p>
    <w:p>
      <w:r>
        <w:rPr>
          <w:rFonts w:ascii="等线(中文正文)" w:hAnsi="等线(中文正文)" w:cs="等线(中文正文)" w:eastAsia="等线(中文正文)"/>
          <w:b w:val="false"/>
          <w:i w:val="false"/>
          <w:sz w:val="20"/>
        </w:rPr>
        <w:t>对话深入探讨了全球主要经济体如日本、美国、欧洲国债收益率上行的驱动因素，指出这并非由加息预期直接主导，而是市场对这些经济体财政可持续性的质疑所致。特别提到日本可能最早触发财政问题，且这些经济体在中期缺乏有效解决财政问题的方式，导致市场信心下降，预计未来5到10年财政不可持续性问题将暴露。</w:t>
      </w:r>
    </w:p>
    <w:p>
      <w:r>
        <w:rPr>
          <w:rFonts w:ascii="等线(中文正文)" w:hAnsi="等线(中文正文)" w:cs="等线(中文正文)" w:eastAsia="等线(中文正文)"/>
          <w:b w:val="false"/>
          <w:i w:val="false"/>
          <w:sz w:val="20"/>
        </w:rPr>
        <w:t/>
      </w:r>
    </w:p>
    <w:p>
      <w:pPr>
        <w:pStyle w:val="ab"/>
        <w:numPr>
          <w:numId w:val="3"/>
        </w:numPr>
      </w:pPr>
      <w:r>
        <w:t>07:30 全球主要经济体债务危机与债券收益率曲线陡峭化</w:t>
      </w:r>
    </w:p>
    <w:p>
      <w:r>
        <w:rPr>
          <w:rFonts w:ascii="等线(中文正文)" w:hAnsi="等线(中文正文)" w:cs="等线(中文正文)" w:eastAsia="等线(中文正文)"/>
          <w:b w:val="false"/>
          <w:i w:val="false"/>
          <w:sz w:val="20"/>
        </w:rPr>
        <w:t>对话探讨了全球主要经济体（美、日、欧、英）面临的债务不可持续性问题，特别是日本高债务比率下未见违约，但长端债券收益率大幅上行的现象。指出这一轮债券收益率曲线陡峭化与历史由经济增长推动的熊市不同，表现为短端稳定而长端持续上涨，且美债收益率与美股呈现极端负相关，反映市场对财政不可持续性的担忧，而非经济增长因素。</w:t>
      </w:r>
    </w:p>
    <w:p>
      <w:r>
        <w:rPr>
          <w:rFonts w:ascii="等线(中文正文)" w:hAnsi="等线(中文正文)" w:cs="等线(中文正文)" w:eastAsia="等线(中文正文)"/>
          <w:b w:val="false"/>
          <w:i w:val="false"/>
          <w:sz w:val="20"/>
        </w:rPr>
        <w:t/>
      </w:r>
    </w:p>
    <w:p>
      <w:pPr>
        <w:pStyle w:val="ab"/>
        <w:numPr>
          <w:numId w:val="4"/>
        </w:numPr>
      </w:pPr>
      <w:r>
        <w:t>12:48 日美收益率上行与财政赤字风险</w:t>
      </w:r>
    </w:p>
    <w:p>
      <w:r>
        <w:rPr>
          <w:rFonts w:ascii="等线(中文正文)" w:hAnsi="等线(中文正文)" w:cs="等线(中文正文)" w:eastAsia="等线(中文正文)"/>
          <w:b w:val="false"/>
          <w:i w:val="false"/>
          <w:sz w:val="20"/>
        </w:rPr>
        <w:t>对话讨论了日本和美国在加息周期下收益率持续上行的现象，分析了财政赤字激增与经济复苏不匹配的风险，指出高通胀与财政政策激进导致债务成本上升，市场对长端国债收益率产生不信任。</w:t>
      </w:r>
    </w:p>
    <w:p>
      <w:r>
        <w:rPr>
          <w:rFonts w:ascii="等线(中文正文)" w:hAnsi="等线(中文正文)" w:cs="等线(中文正文)" w:eastAsia="等线(中文正文)"/>
          <w:b w:val="false"/>
          <w:i w:val="false"/>
          <w:sz w:val="20"/>
        </w:rPr>
        <w:t/>
      </w:r>
    </w:p>
    <w:p>
      <w:pPr>
        <w:pStyle w:val="ab"/>
        <w:numPr>
          <w:numId w:val="5"/>
        </w:numPr>
      </w:pPr>
      <w:r>
        <w:t>17:03 大类资产波动与美日债市动态解析</w:t>
      </w:r>
    </w:p>
    <w:p>
      <w:r>
        <w:rPr>
          <w:rFonts w:ascii="等线(中文正文)" w:hAnsi="等线(中文正文)" w:cs="等线(中文正文)" w:eastAsia="等线(中文正文)"/>
          <w:b w:val="false"/>
          <w:i w:val="false"/>
          <w:sz w:val="20"/>
        </w:rPr>
        <w:t>讨论了国债收益率变动对大类资产影响，指出美债与日债收益率短期可能高位震荡，但未来长期存在抛压风险。分析了美日政府通过减少超长期国债发行、干预汇率等措施缓解市场压力，认为短期收益率大幅上行概率较小，配置机构或有布局价值。</w:t>
      </w:r>
    </w:p>
    <w:p>
      <w:r>
        <w:rPr>
          <w:rFonts w:ascii="等线(中文正文)" w:hAnsi="等线(中文正文)" w:cs="等线(中文正文)" w:eastAsia="等线(中文正文)"/>
          <w:b w:val="false"/>
          <w:i w:val="false"/>
          <w:sz w:val="20"/>
        </w:rPr>
        <w:t/>
      </w:r>
    </w:p>
    <w:p>
      <w:pPr>
        <w:pStyle w:val="ab"/>
        <w:numPr>
          <w:numId w:val="6"/>
        </w:numPr>
      </w:pPr>
      <w:r>
        <w:t>22:55 财政压力下的资产配置与市场反应</w:t>
      </w:r>
    </w:p>
    <w:p>
      <w:r>
        <w:rPr>
          <w:rFonts w:ascii="等线(中文正文)" w:hAnsi="等线(中文正文)" w:cs="等线(中文正文)" w:eastAsia="等线(中文正文)"/>
          <w:b w:val="false"/>
          <w:i w:val="false"/>
          <w:sz w:val="20"/>
        </w:rPr>
        <w:t>讨论了在财政压力下，各国政府通过调整政策应对国债收益率上升和市场流动性担忧的能力，以及黄金作为对冲资产在信用损伤时的配置价值，强调了长期可能面临的货币贬值和通胀压力对财政和市场的影响。</w:t>
      </w:r>
    </w:p>
    <w:p>
      <w:r>
        <w:rPr>
          <w:rFonts w:ascii="等线(中文正文)" w:hAnsi="等线(中文正文)" w:cs="等线(中文正文)" w:eastAsia="等线(中文正文)"/>
          <w:b w:val="false"/>
          <w:i w:val="false"/>
          <w:sz w:val="20"/>
        </w:rPr>
        <w:t/>
      </w:r>
    </w:p>
    <w:p>
      <w:pPr>
        <w:pStyle w:val="ab"/>
        <w:numPr>
          <w:numId w:val="7"/>
        </w:numPr>
      </w:pPr>
      <w:r>
        <w:t>26:39 黄金投资逻辑与市场驱动因素分析</w:t>
      </w:r>
    </w:p>
    <w:p>
      <w:r>
        <w:rPr>
          <w:rFonts w:ascii="等线(中文正文)" w:hAnsi="等线(中文正文)" w:cs="等线(中文正文)" w:eastAsia="等线(中文正文)"/>
          <w:b w:val="false"/>
          <w:i w:val="false"/>
          <w:sz w:val="20"/>
        </w:rPr>
        <w:t>讨论了黄金作为投资资产的重要性，强调了央行购金对黄金价格底的支撑作用，以及零售资金和ETF资金未来可能成为黄金价格增长的主要推手。同时，分析了美债期限利差与黄金价格之间的关系，认为黄金的反法币属性正逐渐增强，建议投资者在资产配置中增加黄金比例以对冲主权信用风险。</w:t>
      </w:r>
    </w:p>
    <w:p>
      <w:r>
        <w:rPr>
          <w:rFonts w:ascii="等线(中文正文)" w:hAnsi="等线(中文正文)" w:cs="等线(中文正文)" w:eastAsia="等线(中文正文)"/>
          <w:b w:val="false"/>
          <w:i w:val="false"/>
          <w:sz w:val="20"/>
        </w:rPr>
        <w:t/>
      </w:r>
    </w:p>
    <w:p>
      <w:pPr>
        <w:pStyle w:val="ab"/>
        <w:numPr>
          <w:numId w:val="8"/>
        </w:numPr>
      </w:pPr>
      <w:r>
        <w:t>31:27 黄金定价新时代与财政货币化风险</w:t>
      </w:r>
    </w:p>
    <w:p>
      <w:r>
        <w:rPr>
          <w:rFonts w:ascii="等线(中文正文)" w:hAnsi="等线(中文正文)" w:cs="等线(中文正文)" w:eastAsia="等线(中文正文)"/>
          <w:b w:val="false"/>
          <w:i w:val="false"/>
          <w:sz w:val="20"/>
        </w:rPr>
        <w:t>对话探讨了黄金价格自2022年起的逻辑切换，指出其不再单纯受加息或降息影响，而是进入了由财政货币化实验引发的全新定价时代。分析认为，全球通缩趋势逆转、财政可持续性问题凸显，以及日本等国面临的财政压力，正逐步影响全球金融市场，国债收益率上行速度加快。强调97因子可能成为未来权益市场重要风险，但短期大幅上行风险不大，整体风险已较前明显下降。</w:t>
      </w:r>
    </w:p>
    <w:p>
      <w:r>
        <w:rPr>
          <w:rFonts w:ascii="等线(中文正文)" w:hAnsi="等线(中文正文)" w:cs="等线(中文正文)" w:eastAsia="等线(中文正文)"/>
          <w:b w:val="false"/>
          <w:i w:val="false"/>
          <w:sz w:val="20"/>
        </w:rPr>
        <w:t/>
      </w:r>
    </w:p>
    <w:p>
      <w:pPr>
        <w:pStyle w:val="ab"/>
        <w:numPr>
          <w:numId w:val="9"/>
        </w:numPr>
      </w:pPr>
      <w:r>
        <w:t>39:06 债市风险与权益市场牛市分析</w:t>
      </w:r>
    </w:p>
    <w:p>
      <w:r>
        <w:rPr>
          <w:rFonts w:ascii="等线(中文正文)" w:hAnsi="等线(中文正文)" w:cs="等线(中文正文)" w:eastAsia="等线(中文正文)"/>
          <w:b w:val="false"/>
          <w:i w:val="false"/>
          <w:sz w:val="20"/>
        </w:rPr>
        <w:t>讨论了债市风险、汇率波动、财政紧缩对全球贸易和通胀的影响，以及权益市场牛市持续性的分析。强调了长端国债收益率上行、流动收紧可能带来的复杂摩擦成本，以及历史上危机变量的警示作用。认为短期内权益资产无需担忧，国内资金充裕，盈利趋势未逆转，中国出海链条和科技链条等表现稳定。</w:t>
      </w:r>
    </w:p>
    <w:p>
      <w:r>
        <w:rPr>
          <w:rFonts w:ascii="等线(中文正文)" w:hAnsi="等线(中文正文)" w:cs="等线(中文正文)" w:eastAsia="等线(中文正文)"/>
          <w:b w:val="false"/>
          <w:i w:val="false"/>
          <w:sz w:val="20"/>
        </w:rPr>
        <w:t/>
      </w:r>
    </w:p>
    <w:p>
      <w:pPr>
        <w:pStyle w:val="ab"/>
        <w:numPr>
          <w:numId w:val="10"/>
        </w:numPr>
      </w:pPr>
      <w:r>
        <w:t>46:56 大类资产配置策略与权益资产分析</w:t>
      </w:r>
    </w:p>
    <w:p>
      <w:r>
        <w:rPr>
          <w:rFonts w:ascii="等线(中文正文)" w:hAnsi="等线(中文正文)" w:cs="等线(中文正文)" w:eastAsia="等线(中文正文)"/>
          <w:b w:val="false"/>
          <w:i w:val="false"/>
          <w:sz w:val="20"/>
        </w:rPr>
        <w:t>讨论了黄金作为大类资产中的优选，以及商品类资产的温和环境。强调权益资产的结构性选择，特别是AI缩圈与非AI扩圈趋势，外需优于内需。提及中等高景气度成长环节的机会，如C叉O、电网设备出海、化工及机械设备出口。对于内需修复持谨慎态度，邀请后续交流细节。</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首先强调了周日晚上讨论市场重要问题的传统，并特别邀请了大类资产首席分析师徐直参与，以探讨全球长端国债收益率上行对市场的影响，包括权益资产、黄金和比特币等的表现。他指出，全球国债收益率尤其是长端国债收益率的大幅上升，引起了市场显著扰动，对各类资产产生影响。讨论重点分析了美债收益率上行的历史特征与当前情景的对比，指出当前情景与历史国债收益率上行有别，需从更底层框架理解。他深入分析了日本、美国和欧洲国债收益率大幅上升的驱动因素，强调了美日欧英等发达经济体财政不可持续性对国债收益率上行的影响，这导致市场担忧，影响全球金融市场波动。他还讨论了大类资产在当前情景下的表现，包括黄金、贵金属的前景及非贵金属商品市场的分化，同时强调了AI和科技成长股的机会，以及对内需修复的预期。整体而言，他的发言覆盖了全球金融市场面临的挑战，强调了国债收益率上升对资产类别影响及对未来市场趋势的预测和投资建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问：上周全球主要发达国家长端国债收益率上行对市场产生了哪些影响？</w:t>
      </w:r>
    </w:p>
    <w:p>
      <w:r>
        <w:rPr>
          <w:rFonts w:ascii="等线(中文正文)" w:hAnsi="等线(中文正文)" w:cs="等线(中文正文)" w:eastAsia="等线(中文正文)"/>
          <w:b w:val="false"/>
          <w:i w:val="false"/>
          <w:sz w:val="20"/>
        </w:rPr>
        <w:t>发言人1 答：上周全球主要发达国家长端国债收益率的上行给权益资产带来了直接冲击，并进一步导致黄金价格大幅上涨，上周五更是突破了4600，比特币波动也明显加大，显示出市场出现了明显的扰动。</w:t>
      </w:r>
    </w:p>
    <w:p>
      <w:r>
        <w:rPr>
          <w:rFonts w:ascii="等线(中文正文)" w:hAnsi="等线(中文正文)" w:cs="等线(中文正文)" w:eastAsia="等线(中文正文)"/>
          <w:b w:val="false"/>
          <w:i w:val="false"/>
          <w:sz w:val="20"/>
        </w:rPr>
        <w:t/>
      </w:r>
    </w:p>
    <w:p>
      <w:pPr>
        <w:pStyle w:val="ab"/>
      </w:pPr>
      <w:r>
        <w:t>发言人1 问：历史上美债收益率上行通常会呈现什么样的特征？</w:t>
      </w:r>
    </w:p>
    <w:p>
      <w:r>
        <w:rPr>
          <w:rFonts w:ascii="等线(中文正文)" w:hAnsi="等线(中文正文)" w:cs="等线(中文正文)" w:eastAsia="等线(中文正文)"/>
          <w:b w:val="false"/>
          <w:i w:val="false"/>
          <w:sz w:val="20"/>
        </w:rPr>
        <w:t>发言人1 答：历史上美债收益率上行往往与加息过程相关，例如经济复苏超预期、联储加息导致整个债券市场全线上行。但当前情况不同，长端国债收益率上行幅度明显大于短端上行幅度，且货币政策目前处于停滞状态，加息预期并不明确，这引发了对发达国家财政可持续性的质疑。</w:t>
      </w:r>
    </w:p>
    <w:p>
      <w:r>
        <w:rPr>
          <w:rFonts w:ascii="等线(中文正文)" w:hAnsi="等线(中文正文)" w:cs="等线(中文正文)" w:eastAsia="等线(中文正文)"/>
          <w:b w:val="false"/>
          <w:i w:val="false"/>
          <w:sz w:val="20"/>
        </w:rPr>
        <w:t/>
      </w:r>
    </w:p>
    <w:p>
      <w:pPr>
        <w:pStyle w:val="ab"/>
      </w:pPr>
      <w:r>
        <w:t>发言人1 问：这次全球长端国债收益率上行的主要驱动因素是什么？</w:t>
      </w:r>
    </w:p>
    <w:p>
      <w:r>
        <w:rPr>
          <w:rFonts w:ascii="等线(中文正文)" w:hAnsi="等线(中文正文)" w:cs="等线(中文正文)" w:eastAsia="等线(中文正文)"/>
          <w:b w:val="false"/>
          <w:i w:val="false"/>
          <w:sz w:val="20"/>
        </w:rPr>
        <w:t>发言人1 答：这次全球长端国债收益率上行的主要驱动因素在于各国财政可持续性受到质疑，尤其是日本、美国、欧洲和英国的财政状况出现问题，表现为财政紧缩未真正实现以及货币政策滞后于曲线，加息幅度不够。市场认为这些经济体在中期维度（5到10年甚至更久）内存在财政不可逆的问题，导致了市场信心下降，收益率大幅上行。</w:t>
      </w:r>
    </w:p>
    <w:p>
      <w:r>
        <w:rPr>
          <w:rFonts w:ascii="等线(中文正文)" w:hAnsi="等线(中文正文)" w:cs="等线(中文正文)" w:eastAsia="等线(中文正文)"/>
          <w:b w:val="false"/>
          <w:i w:val="false"/>
          <w:sz w:val="20"/>
        </w:rPr>
        <w:t/>
      </w:r>
    </w:p>
    <w:p>
      <w:pPr>
        <w:pStyle w:val="ab"/>
      </w:pPr>
      <w:r>
        <w:t>发言人1 问：对于美日欧英的财政状况，市场担忧的具体表现是什么？</w:t>
      </w:r>
    </w:p>
    <w:p>
      <w:r>
        <w:rPr>
          <w:rFonts w:ascii="等线(中文正文)" w:hAnsi="等线(中文正文)" w:cs="等线(中文正文)" w:eastAsia="等线(中文正文)"/>
          <w:b w:val="false"/>
          <w:i w:val="false"/>
          <w:sz w:val="20"/>
        </w:rPr>
        <w:t>发言人1 答：市场担忧这些经济体没有采取有效措施解决财政紧缩问题，货币政策反应滞后且幅度不足。日本的债务水平极高，但其债券收益率上升速度较快，导致市场对这些经济体长期债务可持续性的担忧加剧，尤其是在未来5到10年内可能出现的问题。</w:t>
      </w:r>
    </w:p>
    <w:p>
      <w:r>
        <w:rPr>
          <w:rFonts w:ascii="等线(中文正文)" w:hAnsi="等线(中文正文)" w:cs="等线(中文正文)" w:eastAsia="等线(中文正文)"/>
          <w:b w:val="false"/>
          <w:i w:val="false"/>
          <w:sz w:val="20"/>
        </w:rPr>
        <w:t/>
      </w:r>
    </w:p>
    <w:p>
      <w:pPr>
        <w:pStyle w:val="ab"/>
      </w:pPr>
      <w:r>
        <w:t>发言人1 问：在当前市场维度下，美债、日债和欧债发行对市场的冲击是什么样的？</w:t>
      </w:r>
    </w:p>
    <w:p>
      <w:r>
        <w:rPr>
          <w:rFonts w:ascii="等线(中文正文)" w:hAnsi="等线(中文正文)" w:cs="等线(中文正文)" w:eastAsia="等线(中文正文)"/>
          <w:b w:val="false"/>
          <w:i w:val="false"/>
          <w:sz w:val="20"/>
        </w:rPr>
        <w:t>发言人1 答：目前美债、日债和欧债发行规模较大，每次新发长期国债都会对市场造成一轮新的冲击，表现为收益率脉冲式的上行。这种上行可能是不可预期的点状事件性影响，并且期限溢价处于相对较高的水平，总结来说，这轮债券收益率曲线陡峭化主要由财政不可持续性触发。</w:t>
      </w:r>
    </w:p>
    <w:p>
      <w:r>
        <w:rPr>
          <w:rFonts w:ascii="等线(中文正文)" w:hAnsi="等线(中文正文)" w:cs="等线(中文正文)" w:eastAsia="等线(中文正文)"/>
          <w:b w:val="false"/>
          <w:i w:val="false"/>
          <w:sz w:val="20"/>
        </w:rPr>
        <w:t/>
      </w:r>
    </w:p>
    <w:p>
      <w:pPr>
        <w:pStyle w:val="ab"/>
      </w:pPr>
      <w:r>
        <w:t>发言人1 问：长端收益率持续上行的情况与历史上经济上行推升的熊市有何不同？</w:t>
      </w:r>
    </w:p>
    <w:p>
      <w:r>
        <w:rPr>
          <w:rFonts w:ascii="等线(中文正文)" w:hAnsi="等线(中文正文)" w:cs="等线(中文正文)" w:eastAsia="等线(中文正文)"/>
          <w:b w:val="false"/>
          <w:i w:val="false"/>
          <w:sz w:val="20"/>
        </w:rPr>
        <w:t>发言人1 答：不同之处在于，现在长端收益率持续上升，而短端收益率还未明显反应加息，这种负相关关系在历史上并不常见。近期美债收益率与美股之间的关系也发生了逆转，变成了极度负相关，反映出本轮美债收益率上涨背后隐含的是对美国财政不可持续性的担忧，而非经济增长因素。</w:t>
      </w:r>
    </w:p>
    <w:p>
      <w:r>
        <w:rPr>
          <w:rFonts w:ascii="等线(中文正文)" w:hAnsi="等线(中文正文)" w:cs="等线(中文正文)" w:eastAsia="等线(中文正文)"/>
          <w:b w:val="false"/>
          <w:i w:val="false"/>
          <w:sz w:val="20"/>
        </w:rPr>
        <w:t/>
      </w:r>
    </w:p>
    <w:p>
      <w:pPr>
        <w:pStyle w:val="ab"/>
      </w:pPr>
      <w:r>
        <w:t>发言人1 问：为什么日本和美国等国家的收益率会在当前时点持续上行，与时间是否有关？</w:t>
      </w:r>
    </w:p>
    <w:p>
      <w:r>
        <w:rPr>
          <w:rFonts w:ascii="等线(中文正文)" w:hAnsi="等线(中文正文)" w:cs="等线(中文正文)" w:eastAsia="等线(中文正文)"/>
          <w:b w:val="false"/>
          <w:i w:val="false"/>
          <w:sz w:val="20"/>
        </w:rPr>
        <w:t>发言人1 答：当前时点收益率持续上行可能与加息周期有关。初期市场可能对加息持续性存疑，长端收益率上升不大，但在加息后期会有一个明显上行。此外，财政问题也是原因之一，比如日本债务占GDP比例较高，且随着经济好转和通胀上升，市场对其财政状况的担忧逐渐加剧。</w:t>
      </w:r>
    </w:p>
    <w:p>
      <w:r>
        <w:rPr>
          <w:rFonts w:ascii="等线(中文正文)" w:hAnsi="等线(中文正文)" w:cs="等线(中文正文)" w:eastAsia="等线(中文正文)"/>
          <w:b w:val="false"/>
          <w:i w:val="false"/>
          <w:sz w:val="20"/>
        </w:rPr>
        <w:t/>
      </w:r>
    </w:p>
    <w:p>
      <w:pPr>
        <w:pStyle w:val="ab"/>
      </w:pPr>
      <w:r>
        <w:t>发言人1 问：日本债券收益率上行与汇率之间形成了怎样的关系？</w:t>
      </w:r>
    </w:p>
    <w:p>
      <w:r>
        <w:rPr>
          <w:rFonts w:ascii="等线(中文正文)" w:hAnsi="等线(中文正文)" w:cs="等线(中文正文)" w:eastAsia="等线(中文正文)"/>
          <w:b w:val="false"/>
          <w:i w:val="false"/>
          <w:sz w:val="20"/>
        </w:rPr>
        <w:t>发言人1 答：在日本，债券收益率和汇率之间形成了类似跷跷板的关系。如果关注日元汇率，那么通胀和加息压力就会更加明显；反之亦然，若希望通过财政政策稳定汇率，也会对债券收益率产生影响。现在高通胀使得汇率压力和国债财务压力形成较大直接冲击，这不仅在日本，在其他市场也引发了对于长端国债收益率的不信任。</w:t>
      </w:r>
    </w:p>
    <w:p>
      <w:r>
        <w:rPr>
          <w:rFonts w:ascii="等线(中文正文)" w:hAnsi="等线(中文正文)" w:cs="等线(中文正文)" w:eastAsia="等线(中文正文)"/>
          <w:b w:val="false"/>
          <w:i w:val="false"/>
          <w:sz w:val="20"/>
        </w:rPr>
        <w:t/>
      </w:r>
    </w:p>
    <w:p>
      <w:pPr>
        <w:pStyle w:val="ab"/>
      </w:pPr>
      <w:r>
        <w:t>发言人1 问：从大类资产视角看，当前国债收益率的影响及未来波动如何映射到各类资产上？</w:t>
      </w:r>
    </w:p>
    <w:p>
      <w:r>
        <w:rPr>
          <w:rFonts w:ascii="等线(中文正文)" w:hAnsi="等线(中文正文)" w:cs="等线(中文正文)" w:eastAsia="等线(中文正文)"/>
          <w:b w:val="false"/>
          <w:i w:val="false"/>
          <w:sz w:val="20"/>
        </w:rPr>
        <w:t>发言人1 答：当前美债和日债收益率上行，其背后的驱动要素主要是财政状况以及市场对于财政稳定性和债务水平的关注。对于大类资产未来波动的影响，需要进一步分析并考虑其对股票、债券、黄金和大宗商品等资产的具体影响。</w:t>
      </w:r>
    </w:p>
    <w:p>
      <w:r>
        <w:rPr>
          <w:rFonts w:ascii="等线(中文正文)" w:hAnsi="等线(中文正文)" w:cs="等线(中文正文)" w:eastAsia="等线(中文正文)"/>
          <w:b w:val="false"/>
          <w:i w:val="false"/>
          <w:sz w:val="20"/>
        </w:rPr>
        <w:t/>
      </w:r>
    </w:p>
    <w:p>
      <w:pPr>
        <w:pStyle w:val="ab"/>
      </w:pPr>
      <w:r>
        <w:t>发言人1 问：日本国债收益率上行的幅度是否非常惊人？美债、日债等国家国债收益率的走势是怎样的？</w:t>
      </w:r>
    </w:p>
    <w:p>
      <w:r>
        <w:rPr>
          <w:rFonts w:ascii="等线(中文正文)" w:hAnsi="等线(中文正文)" w:cs="等线(中文正文)" w:eastAsia="等线(中文正文)"/>
          <w:b w:val="false"/>
          <w:i w:val="false"/>
          <w:sz w:val="20"/>
        </w:rPr>
        <w:t>发言人1 答：是的，日本从去年九月份至今，10年期国债收益率上行了130个BP，对于低利率国家来说这是一个非常吓人的幅度。我认为美日德法意国债在趋势上可能仍会保持震荡走高的态势，但短期内可能已到达一个相对较高的高位区间，进一步大幅上行的概率变小。</w:t>
      </w:r>
    </w:p>
    <w:p>
      <w:r>
        <w:rPr>
          <w:rFonts w:ascii="等线(中文正文)" w:hAnsi="等线(中文正文)" w:cs="等线(中文正文)" w:eastAsia="等线(中文正文)"/>
          <w:b w:val="false"/>
          <w:i w:val="false"/>
          <w:sz w:val="20"/>
        </w:rPr>
        <w:t/>
      </w:r>
    </w:p>
    <w:p>
      <w:pPr>
        <w:pStyle w:val="ab"/>
      </w:pPr>
      <w:r>
        <w:t>发言人1 问：美国财政部如何应对国债收益率上行的问题？</w:t>
      </w:r>
    </w:p>
    <w:p>
      <w:r>
        <w:rPr>
          <w:rFonts w:ascii="等线(中文正文)" w:hAnsi="等线(中文正文)" w:cs="等线(中文正文)" w:eastAsia="等线(中文正文)"/>
          <w:b w:val="false"/>
          <w:i w:val="false"/>
          <w:sz w:val="20"/>
        </w:rPr>
        <w:t>发言人1 答：美国财政部采取了扩大偿债回购政策，将10至20年及20至30年期限国债流动性支持回购上限从20亿美金翻倍至40亿美金，并在九月份开始实施至11月份，通过二级市场买回长端美债，同时用短债发行来支持，从而扭曲期限结构，减少市场上的长端存量。</w:t>
      </w:r>
    </w:p>
    <w:p>
      <w:r>
        <w:rPr>
          <w:rFonts w:ascii="等线(中文正文)" w:hAnsi="等线(中文正文)" w:cs="等线(中文正文)" w:eastAsia="等线(中文正文)"/>
          <w:b w:val="false"/>
          <w:i w:val="false"/>
          <w:sz w:val="20"/>
        </w:rPr>
        <w:t/>
      </w:r>
    </w:p>
    <w:p>
      <w:pPr>
        <w:pStyle w:val="ab"/>
      </w:pPr>
      <w:r>
        <w:t>发言人1 问：日本在国债发行方面做了什么干预措施？</w:t>
      </w:r>
    </w:p>
    <w:p>
      <w:r>
        <w:rPr>
          <w:rFonts w:ascii="等线(中文正文)" w:hAnsi="等线(中文正文)" w:cs="等线(中文正文)" w:eastAsia="等线(中文正文)"/>
          <w:b w:val="false"/>
          <w:i w:val="false"/>
          <w:sz w:val="20"/>
        </w:rPr>
        <w:t>发言人1 答：日本整体减少了今年的国债发行量，特别是削减了20年以上期限国债的发行，以降低偿债压力和抛压，与美国操作一致，将债务往短端和中短端挤压。</w:t>
      </w:r>
    </w:p>
    <w:p>
      <w:r>
        <w:rPr>
          <w:rFonts w:ascii="等线(中文正文)" w:hAnsi="等线(中文正文)" w:cs="等线(中文正文)" w:eastAsia="等线(中文正文)"/>
          <w:b w:val="false"/>
          <w:i w:val="false"/>
          <w:sz w:val="20"/>
        </w:rPr>
        <w:t/>
      </w:r>
    </w:p>
    <w:p>
      <w:pPr>
        <w:pStyle w:val="ab"/>
      </w:pPr>
      <w:r>
        <w:t>发言人1 问：美日两国是否采取了联合干预措施？</w:t>
      </w:r>
    </w:p>
    <w:p>
      <w:r>
        <w:rPr>
          <w:rFonts w:ascii="等线(中文正文)" w:hAnsi="等线(中文正文)" w:cs="等线(中文正文)" w:eastAsia="等线(中文正文)"/>
          <w:b w:val="false"/>
          <w:i w:val="false"/>
          <w:sz w:val="20"/>
        </w:rPr>
        <w:t>发言人1 答：美日两国联合干预了日元汇率，美国还新形成一个飞马工具，虽然目前尚未使用，但如果日本需要干预汇率或债市问题时，可以使用此工具，这样可以减少对美债的抛售风险。</w:t>
      </w:r>
    </w:p>
    <w:p>
      <w:r>
        <w:rPr>
          <w:rFonts w:ascii="等线(中文正文)" w:hAnsi="等线(中文正文)" w:cs="等线(中文正文)" w:eastAsia="等线(中文正文)"/>
          <w:b w:val="false"/>
          <w:i w:val="false"/>
          <w:sz w:val="20"/>
        </w:rPr>
        <w:t/>
      </w:r>
    </w:p>
    <w:p>
      <w:pPr>
        <w:pStyle w:val="ab"/>
      </w:pPr>
      <w:r>
        <w:t>发言人1 问：现阶段美日政府对国债市场的呵护态度如何？</w:t>
      </w:r>
    </w:p>
    <w:p>
      <w:r>
        <w:rPr>
          <w:rFonts w:ascii="等线(中文正文)" w:hAnsi="等线(中文正文)" w:cs="等线(中文正文)" w:eastAsia="等线(中文正文)"/>
          <w:b w:val="false"/>
          <w:i w:val="false"/>
          <w:sz w:val="20"/>
        </w:rPr>
        <w:t>发言人1 答：现阶段美日政府对国债市场的呵护态度明确，短期内大幅上行收益率导致长债超长端抛售的概率不大。不过，只要财政问题不解决，在更长期限上仍会有抛压。</w:t>
      </w:r>
    </w:p>
    <w:p>
      <w:r>
        <w:rPr>
          <w:rFonts w:ascii="等线(中文正文)" w:hAnsi="等线(中文正文)" w:cs="等线(中文正文)" w:eastAsia="等线(中文正文)"/>
          <w:b w:val="false"/>
          <w:i w:val="false"/>
          <w:sz w:val="20"/>
        </w:rPr>
        <w:t/>
      </w:r>
    </w:p>
    <w:p>
      <w:pPr>
        <w:pStyle w:val="ab"/>
      </w:pPr>
      <w:r>
        <w:t>发言人1 问：对于财政角度，如何看待其应对市场倒逼的能力？</w:t>
      </w:r>
    </w:p>
    <w:p>
      <w:r>
        <w:rPr>
          <w:rFonts w:ascii="等线(中文正文)" w:hAnsi="等线(中文正文)" w:cs="等线(中文正文)" w:eastAsia="等线(中文正文)"/>
          <w:b w:val="false"/>
          <w:i w:val="false"/>
          <w:sz w:val="20"/>
        </w:rPr>
        <w:t>发言人1 答：对于财政部门，尤其是比例很高的财政部门，不可能被市场倒逼到出现不可逆状况。日本和美国都有多种工具来解决财政问题，因为财政收益率恶性的持续上行对财政可持续性和长期影响极为不利。</w:t>
      </w:r>
    </w:p>
    <w:p>
      <w:r>
        <w:rPr>
          <w:rFonts w:ascii="等线(中文正文)" w:hAnsi="等线(中文正文)" w:cs="等线(中文正文)" w:eastAsia="等线(中文正文)"/>
          <w:b w:val="false"/>
          <w:i w:val="false"/>
          <w:sz w:val="20"/>
        </w:rPr>
        <w:t/>
      </w:r>
    </w:p>
    <w:p>
      <w:pPr>
        <w:pStyle w:val="ab"/>
      </w:pPr>
      <w:r>
        <w:t>发言人1 问：国债收益率下跌与黄金上涨之间的关系是怎样的逻辑？</w:t>
      </w:r>
    </w:p>
    <w:p>
      <w:r>
        <w:rPr>
          <w:rFonts w:ascii="等线(中文正文)" w:hAnsi="等线(中文正文)" w:cs="等线(中文正文)" w:eastAsia="等线(中文正文)"/>
          <w:b w:val="false"/>
          <w:i w:val="false"/>
          <w:sz w:val="20"/>
        </w:rPr>
        <w:t>发言人1 答：国债收益率下跌会激发政府采取相应措施和市场对货币市场和流动性市场的进一步担忧。我们之前报告标题“国债跌黄金涨”强调的是国债收益率上升会引发政府应对措施和市场对流动性的担忧，而非简单意义上的负相关关系。</w:t>
      </w:r>
    </w:p>
    <w:p>
      <w:r>
        <w:rPr>
          <w:rFonts w:ascii="等线(中文正文)" w:hAnsi="等线(中文正文)" w:cs="等线(中文正文)" w:eastAsia="等线(中文正文)"/>
          <w:b w:val="false"/>
          <w:i w:val="false"/>
          <w:sz w:val="20"/>
        </w:rPr>
        <w:t/>
      </w:r>
    </w:p>
    <w:p>
      <w:pPr>
        <w:pStyle w:val="ab"/>
      </w:pPr>
      <w:r>
        <w:t>发言人1 问：为何短期国债收益率上行不至于引发严峻恶化？</w:t>
      </w:r>
    </w:p>
    <w:p>
      <w:r>
        <w:rPr>
          <w:rFonts w:ascii="等线(中文正文)" w:hAnsi="等线(中文正文)" w:cs="等线(中文正文)" w:eastAsia="等线(中文正文)"/>
          <w:b w:val="false"/>
          <w:i w:val="false"/>
          <w:sz w:val="20"/>
        </w:rPr>
        <w:t>发言人1 答：各国政府仍具备操作和调整空间。长期来看，货币贬值、通胀上行会挤压财政能力和通胀压力，从而影响货币和商品市场以及财政状态。</w:t>
      </w:r>
    </w:p>
    <w:p>
      <w:r>
        <w:rPr>
          <w:rFonts w:ascii="等线(中文正文)" w:hAnsi="等线(中文正文)" w:cs="等线(中文正文)" w:eastAsia="等线(中文正文)"/>
          <w:b w:val="false"/>
          <w:i w:val="false"/>
          <w:sz w:val="20"/>
        </w:rPr>
        <w:t/>
      </w:r>
    </w:p>
    <w:p>
      <w:pPr>
        <w:pStyle w:val="ab"/>
      </w:pPr>
      <w:r>
        <w:t>发言人1 问：黄金在当前经济环境下为何成为大类资产中受益逻辑链条最短、对冲法币体系风险较好的资产？</w:t>
      </w:r>
    </w:p>
    <w:p>
      <w:r>
        <w:rPr>
          <w:rFonts w:ascii="等线(中文正文)" w:hAnsi="等线(中文正文)" w:cs="等线(中文正文)" w:eastAsia="等线(中文正文)"/>
          <w:b w:val="false"/>
          <w:i w:val="false"/>
          <w:sz w:val="20"/>
        </w:rPr>
        <w:t>发言人1 答：在当前法币体系可能出现信用损伤的情况下，黄金因其与法币体系的反向关系，成为一种对冲性较强的资产选择。过去，黄金的成本主要表现为无风险资产的实际回报率，但在发达经济体信用市场中，实际回报率可能降至0或呈现负值，如日本和美国国债长端收益率的情况。这种情况下，持有债券面临账面损失的风险增加，从而压低了黄金的机会成本。此外，通过分析美债期限利差与黄金价格的历史关系，可以发现当财政债务状况恶化导致30年期减10年期美债利差走阔时，黄金的价格也会相应出现明显回升，反映其反法币属性的增强。</w:t>
      </w:r>
    </w:p>
    <w:p>
      <w:r>
        <w:rPr>
          <w:rFonts w:ascii="等线(中文正文)" w:hAnsi="等线(中文正文)" w:cs="等线(中文正文)" w:eastAsia="等线(中文正文)"/>
          <w:b w:val="false"/>
          <w:i w:val="false"/>
          <w:sz w:val="20"/>
        </w:rPr>
        <w:t/>
      </w:r>
    </w:p>
    <w:p>
      <w:pPr>
        <w:pStyle w:val="ab"/>
      </w:pPr>
      <w:r>
        <w:t>发言人1 问：央行和私人资金对于黄金配置的情况如何？</w:t>
      </w:r>
    </w:p>
    <w:p>
      <w:r>
        <w:rPr>
          <w:rFonts w:ascii="等线(中文正文)" w:hAnsi="等线(中文正文)" w:cs="等线(中文正文)" w:eastAsia="等线(中文正文)"/>
          <w:b w:val="false"/>
          <w:i w:val="false"/>
          <w:sz w:val="20"/>
        </w:rPr>
        <w:t>发言人1 答：央行是黄金的主要买方，尤其在2022年后，新兴市场央行持续增持黄金，为金价底部提供了支撑。二季度数据显示，央行购金量达到了年化约1000吨的水平。然而，相较于央行资金，私人资金如零售资金、ETF资金以及财富管理资金配置黄金的比例仍然较低，私行财富客户配置黄金的比例不足2%。建议将传统的60%权益与40%债券的对冲组合调整为15%中短债、15%Tips以及约10%黄金的组合，因为黄金在对冲主权信用风险方面具有更强的效果。</w:t>
      </w:r>
    </w:p>
    <w:p>
      <w:r>
        <w:rPr>
          <w:rFonts w:ascii="等线(中文正文)" w:hAnsi="等线(中文正文)" w:cs="等线(中文正文)" w:eastAsia="等线(中文正文)"/>
          <w:b w:val="false"/>
          <w:i w:val="false"/>
          <w:sz w:val="20"/>
        </w:rPr>
        <w:t/>
      </w:r>
    </w:p>
    <w:p>
      <w:pPr>
        <w:pStyle w:val="ab"/>
      </w:pPr>
      <w:r>
        <w:t>发言人1 问：黄金定价在近年来有何显著变化？</w:t>
      </w:r>
    </w:p>
    <w:p>
      <w:r>
        <w:rPr>
          <w:rFonts w:ascii="等线(中文正文)" w:hAnsi="等线(中文正文)" w:cs="等线(中文正文)" w:eastAsia="等线(中文正文)"/>
          <w:b w:val="false"/>
          <w:i w:val="false"/>
          <w:sz w:val="20"/>
        </w:rPr>
        <w:t>发言人1 答：自2022年后，黄金的价格与美国十年期国债收益率的相关性发生了明显切换。之前黄金价格与美国国债收益率呈负相关，但在经济波动和对财政可持续性的担忧下，黄金价格开始持续上行，不论加息还是降息都未改变其上涨趋势。这意味着黄金进入了历史上未曾经历过的定价新时代，这与过去近20年全球经历的财政货币化实验密切相关，特别是在低通胀时期和通胀下行时期，这种实验并未显示出问题。同时，黄金的定价变化也反映了与中国输出通缩、互联网经济等现象的本质联系。</w:t>
      </w:r>
    </w:p>
    <w:p>
      <w:r>
        <w:rPr>
          <w:rFonts w:ascii="等线(中文正文)" w:hAnsi="等线(中文正文)" w:cs="等线(中文正文)" w:eastAsia="等线(中文正文)"/>
          <w:b w:val="false"/>
          <w:i w:val="false"/>
          <w:sz w:val="20"/>
        </w:rPr>
        <w:t/>
      </w:r>
    </w:p>
    <w:p>
      <w:pPr>
        <w:pStyle w:val="ab"/>
      </w:pPr>
      <w:r>
        <w:t>发言人1 问：在当前时点上，您认为黄金的影响主要体现在什么方面？</w:t>
      </w:r>
    </w:p>
    <w:p>
      <w:r>
        <w:rPr>
          <w:rFonts w:ascii="等线(中文正文)" w:hAnsi="等线(中文正文)" w:cs="等线(中文正文)" w:eastAsia="等线(中文正文)"/>
          <w:b w:val="false"/>
          <w:i w:val="false"/>
          <w:sz w:val="20"/>
        </w:rPr>
        <w:t>发言人1 答：当前黄金的影响已不再局限于加不加息、降不降息，或是通胀上不上、通胀预期的问题。在这个全新的财政货币时代背景下，黄金所体现的是尾部因素逐渐爆发的拐点位置，即财政可持续性、MMT（货币化财政）及财政货币化等议题变得尤为突出。</w:t>
      </w:r>
    </w:p>
    <w:p>
      <w:r>
        <w:rPr>
          <w:rFonts w:ascii="等线(中文正文)" w:hAnsi="等线(中文正文)" w:cs="等线(中文正文)" w:eastAsia="等线(中文正文)"/>
          <w:b w:val="false"/>
          <w:i w:val="false"/>
          <w:sz w:val="20"/>
        </w:rPr>
        <w:t/>
      </w:r>
    </w:p>
    <w:p>
      <w:pPr>
        <w:pStyle w:val="ab"/>
      </w:pPr>
      <w:r>
        <w:t>发言人1 问：黄金价格的走势如何，以及它在日本面临的压力是什么？</w:t>
      </w:r>
    </w:p>
    <w:p>
      <w:r>
        <w:rPr>
          <w:rFonts w:ascii="等线(中文正文)" w:hAnsi="等线(中文正文)" w:cs="等线(中文正文)" w:eastAsia="等线(中文正文)"/>
          <w:b w:val="false"/>
          <w:i w:val="false"/>
          <w:sz w:val="20"/>
        </w:rPr>
        <w:t>发言人1 答：黄金价格从1500美元开始上涨，起初被认为是疫情导致的放水行为，随后在24年和25年快速上升，反映出定价方式的变化。特别是在日本这个实施了较为激进的安倍经济学和财政货币计划的地区，其面临的财政压力最为显著，并首先反映在其汇率上，对全球经济和金融市场产生了直接且明显的影响。</w:t>
      </w:r>
    </w:p>
    <w:p>
      <w:r>
        <w:rPr>
          <w:rFonts w:ascii="等线(中文正文)" w:hAnsi="等线(中文正文)" w:cs="等线(中文正文)" w:eastAsia="等线(中文正文)"/>
          <w:b w:val="false"/>
          <w:i w:val="false"/>
          <w:sz w:val="20"/>
        </w:rPr>
        <w:t/>
      </w:r>
    </w:p>
    <w:p>
      <w:pPr>
        <w:pStyle w:val="ab"/>
      </w:pPr>
      <w:r>
        <w:t>发言人1 问：在当前环境下，国债收益率上行速度很快，我们应该关注哪些风险及这些风险通过何种渠道对经济和金融市场产生影响？汇率和国债收益率对当前经济形势有何影响？</w:t>
      </w:r>
    </w:p>
    <w:p>
      <w:r>
        <w:rPr>
          <w:rFonts w:ascii="等线(中文正文)" w:hAnsi="等线(中文正文)" w:cs="等线(中文正文)" w:eastAsia="等线(中文正文)"/>
          <w:b w:val="false"/>
          <w:i w:val="false"/>
          <w:sz w:val="20"/>
        </w:rPr>
        <w:t>发言人1 答：当前需要关注的是债券市场波动率加大所带来的风险，尤其是国债收益率上行对整个风险资产的影响，因为资金价格的变化会传导至其他资产类别。目前市场普遍关注此风险，且普遍认为当前收益率可能接近顶部区间。汇率和国债收益率的变化已形成一些不可控因素。例如，日元汇率进一步贬值或日债收益率交替性上涨可能导致某些时点上多个因素不可控，影响金融企业的资产负债表以及全球贸易链预期。此外，长端国债收益率上行还加大了流动性的收紧压力，可能带来复杂摩擦成本，对长久期估值和市场盈利预期产生波动。</w:t>
      </w:r>
    </w:p>
    <w:p>
      <w:r>
        <w:rPr>
          <w:rFonts w:ascii="等线(中文正文)" w:hAnsi="等线(中文正文)" w:cs="等线(中文正文)" w:eastAsia="等线(中文正文)"/>
          <w:b w:val="false"/>
          <w:i w:val="false"/>
          <w:sz w:val="20"/>
        </w:rPr>
        <w:t/>
      </w:r>
    </w:p>
    <w:p>
      <w:pPr>
        <w:pStyle w:val="ab"/>
      </w:pPr>
      <w:r>
        <w:t>发言人1 问：从长远角度看，权益市场中哪些风险因子的重要性可能提升？</w:t>
      </w:r>
    </w:p>
    <w:p>
      <w:r>
        <w:rPr>
          <w:rFonts w:ascii="等线(中文正文)" w:hAnsi="等线(中文正文)" w:cs="等线(中文正文)" w:eastAsia="等线(中文正文)"/>
          <w:b w:val="false"/>
          <w:i w:val="false"/>
          <w:sz w:val="20"/>
        </w:rPr>
        <w:t>发言人1 答：在当前环境下，97因子（可能指利率或市场利率风险）对于权益市场的重要性可能不亚于地域分散或风格分散。尤其是全球科技股的调整可能会受到更多影响，未来阶段应重点关注这个风险因子。</w:t>
      </w:r>
    </w:p>
    <w:p>
      <w:r>
        <w:rPr>
          <w:rFonts w:ascii="等线(中文正文)" w:hAnsi="等线(中文正文)" w:cs="等线(中文正文)" w:eastAsia="等线(中文正文)"/>
          <w:b w:val="false"/>
          <w:i w:val="false"/>
          <w:sz w:val="20"/>
        </w:rPr>
        <w:t/>
      </w:r>
    </w:p>
    <w:p>
      <w:pPr>
        <w:pStyle w:val="ab"/>
      </w:pPr>
      <w:r>
        <w:t>发言人1 问：对于短期内国债收益率大幅上行的可能性如何看待？</w:t>
      </w:r>
    </w:p>
    <w:p>
      <w:r>
        <w:rPr>
          <w:rFonts w:ascii="等线(中文正文)" w:hAnsi="等线(中文正文)" w:cs="等线(中文正文)" w:eastAsia="等线(中文正文)"/>
          <w:b w:val="false"/>
          <w:i w:val="false"/>
          <w:sz w:val="20"/>
        </w:rPr>
        <w:t>发言人1 答：我们认为年内出现大幅上行，如十年期日债升至3.5%以上或十年期美债升至5.2%以上的可能性不大，因此从债市风险角度看，不必过于担心尾端风险事件的发生。</w:t>
      </w:r>
    </w:p>
    <w:p>
      <w:r>
        <w:rPr>
          <w:rFonts w:ascii="等线(中文正文)" w:hAnsi="等线(中文正文)" w:cs="等线(中文正文)" w:eastAsia="等线(中文正文)"/>
          <w:b w:val="false"/>
          <w:i w:val="false"/>
          <w:sz w:val="20"/>
        </w:rPr>
        <w:t/>
      </w:r>
    </w:p>
    <w:p>
      <w:pPr>
        <w:pStyle w:val="ab"/>
      </w:pPr>
      <w:r>
        <w:t>发言人1 问：利率上行对经济的影响与现在的情况有何不同？</w:t>
      </w:r>
    </w:p>
    <w:p>
      <w:r>
        <w:rPr>
          <w:rFonts w:ascii="等线(中文正文)" w:hAnsi="等线(中文正文)" w:cs="等线(中文正文)" w:eastAsia="等线(中文正文)"/>
          <w:b w:val="false"/>
          <w:i w:val="false"/>
          <w:sz w:val="20"/>
        </w:rPr>
        <w:t>发言人1 答：现在的利率上行更多是由期限利差和市场对财政的担忧引起，对权益市场的传导需要时间，长期来看可能对全球贸易、通胀压力及财政可持续性产生影响，并带来金融机构资产负债表浮亏和流动性风险。</w:t>
      </w:r>
    </w:p>
    <w:p>
      <w:r>
        <w:rPr>
          <w:rFonts w:ascii="等线(中文正文)" w:hAnsi="等线(中文正文)" w:cs="等线(中文正文)" w:eastAsia="等线(中文正文)"/>
          <w:b w:val="false"/>
          <w:i w:val="false"/>
          <w:sz w:val="20"/>
        </w:rPr>
        <w:t/>
      </w:r>
    </w:p>
    <w:p>
      <w:pPr>
        <w:pStyle w:val="ab"/>
      </w:pPr>
      <w:r>
        <w:t>发言人1 问：当前市场担忧的主要因素是什么？</w:t>
      </w:r>
    </w:p>
    <w:p>
      <w:r>
        <w:rPr>
          <w:rFonts w:ascii="等线(中文正文)" w:hAnsi="等线(中文正文)" w:cs="等线(中文正文)" w:eastAsia="等线(中文正文)"/>
          <w:b w:val="false"/>
          <w:i w:val="false"/>
          <w:sz w:val="20"/>
        </w:rPr>
        <w:t>发言人1 答：当前市场担忧主要来自尾端风险，即最脆弱环节可能引发系统性危机，历史上如日债、欧债、美国次贷和中国地产等危机中，这些变量起到了关键作用。</w:t>
      </w:r>
    </w:p>
    <w:p>
      <w:r>
        <w:rPr>
          <w:rFonts w:ascii="等线(中文正文)" w:hAnsi="等线(中文正文)" w:cs="等线(中文正文)" w:eastAsia="等线(中文正文)"/>
          <w:b w:val="false"/>
          <w:i w:val="false"/>
          <w:sz w:val="20"/>
        </w:rPr>
        <w:t/>
      </w:r>
    </w:p>
    <w:p>
      <w:pPr>
        <w:pStyle w:val="ab"/>
      </w:pPr>
      <w:r>
        <w:t>发言人1 问：对于A股市场的看法如何？</w:t>
      </w:r>
    </w:p>
    <w:p>
      <w:r>
        <w:rPr>
          <w:rFonts w:ascii="等线(中文正文)" w:hAnsi="等线(中文正文)" w:cs="等线(中文正文)" w:eastAsia="等线(中文正文)"/>
          <w:b w:val="false"/>
          <w:i w:val="false"/>
          <w:sz w:val="20"/>
        </w:rPr>
        <w:t>发言人1 答：目前A股在经历了一段上涨斜率放缓后的调整，上证指数回到3900点附近，情绪指标显示市场接近底部，从成交金额角度看，下跌空间有限。因此，在接下来的月度时间尺度内（如8月、9月甚至10月），对权益资产持不悲观态度。</w:t>
      </w:r>
    </w:p>
    <w:p>
      <w:r>
        <w:rPr>
          <w:rFonts w:ascii="等线(中文正文)" w:hAnsi="等线(中文正文)" w:cs="等线(中文正文)" w:eastAsia="等线(中文正文)"/>
          <w:b w:val="false"/>
          <w:i w:val="false"/>
          <w:sz w:val="20"/>
        </w:rPr>
        <w:t/>
      </w:r>
    </w:p>
    <w:p>
      <w:pPr>
        <w:pStyle w:val="ab"/>
      </w:pPr>
      <w:r>
        <w:t>发言人1 问：权益资产短期配置建议是什么？</w:t>
      </w:r>
    </w:p>
    <w:p>
      <w:r>
        <w:rPr>
          <w:rFonts w:ascii="等线(中文正文)" w:hAnsi="等线(中文正文)" w:cs="等线(中文正文)" w:eastAsia="等线(中文正文)"/>
          <w:b w:val="false"/>
          <w:i w:val="false"/>
          <w:sz w:val="20"/>
        </w:rPr>
        <w:t>发言人1 答：在接下来两个月内，对于权益资产不持悲观看法，国内资金充裕且盈利趋势未发生实质性逆转，无论是出海链条还是AI科技链条，都没有方向性变化。此外，黄金是大类资产中较好的选择，其上涨态势可以关注并持续参与。</w:t>
      </w:r>
    </w:p>
    <w:p>
      <w:r>
        <w:rPr>
          <w:rFonts w:ascii="等线(中文正文)" w:hAnsi="等线(中文正文)" w:cs="等线(中文正文)" w:eastAsia="等线(中文正文)"/>
          <w:b w:val="false"/>
          <w:i w:val="false"/>
          <w:sz w:val="20"/>
        </w:rPr>
        <w:t/>
      </w:r>
    </w:p>
    <w:p>
      <w:pPr>
        <w:pStyle w:val="ab"/>
      </w:pPr>
      <w:r>
        <w:t>发言人1 问：对于商品类资产的看法是怎样的？</w:t>
      </w:r>
    </w:p>
    <w:p>
      <w:r>
        <w:rPr>
          <w:rFonts w:ascii="等线(中文正文)" w:hAnsi="等线(中文正文)" w:cs="等线(中文正文)" w:eastAsia="等线(中文正文)"/>
          <w:b w:val="false"/>
          <w:i w:val="false"/>
          <w:sz w:val="20"/>
        </w:rPr>
        <w:t>发言人1 答：整体非贵金属商品资产今年处于相对温和环境，但向上弹性及压力不算突出。其中，农产品表现较好，而铜和油价有见顶波动，海外因素对比工业金属较强，国内黑色系相对较弱，整体商品市场呈现分化特征。</w:t>
      </w:r>
    </w:p>
    <w:p>
      <w:r>
        <w:rPr>
          <w:rFonts w:ascii="等线(中文正文)" w:hAnsi="等线(中文正文)" w:cs="等线(中文正文)" w:eastAsia="等线(中文正文)"/>
          <w:b w:val="false"/>
          <w:i w:val="false"/>
          <w:sz w:val="20"/>
        </w:rPr>
        <w:t/>
      </w:r>
    </w:p>
    <w:p>
      <w:pPr>
        <w:pStyle w:val="ab"/>
      </w:pPr>
      <w:r>
        <w:t>发言人1 问：权益资产的具体结构性配置建议是什么？</w:t>
      </w:r>
    </w:p>
    <w:p>
      <w:r>
        <w:rPr>
          <w:rFonts w:ascii="等线(中文正文)" w:hAnsi="等线(中文正文)" w:cs="等线(中文正文)" w:eastAsia="等线(中文正文)"/>
          <w:b w:val="false"/>
          <w:i w:val="false"/>
          <w:sz w:val="20"/>
        </w:rPr>
        <w:t>发言人1 答：自六月末以来，坚持AI收缩和非AI扩张的策略，关注中等成长景气度行业的投资机会，如CRO、电网设备出口、化工及机械设备出口等。同时，外需优于内需，对内需修复不抱有强烈预期。</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