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华源公用 _ 嘉泽新能2026年半年度业绩交流 260823_导读</w:t>
      </w:r>
    </w:p>
    <w:p>
      <w:pPr>
        <w:pStyle w:val="a0"/>
        <w:jc w:val="center"/>
      </w:pPr>
      <w:r>
        <w:t>2026年08月23日 22:07</w:t>
      </w:r>
    </w:p>
    <w:p>
      <w:pPr>
        <w:pStyle w:val="a7"/>
      </w:pPr>
      <w:r>
        <w:t>关键词</w:t>
      </w:r>
    </w:p>
    <w:p>
      <w:r>
        <w:rPr>
          <w:rFonts w:ascii="等线(中文正文)" w:hAnsi="等线(中文正文)" w:cs="等线(中文正文)" w:eastAsia="等线(中文正文)"/>
          <w:b w:val="false"/>
          <w:i w:val="false"/>
          <w:sz w:val="20"/>
        </w:rPr>
        <w:t xml:space="preserve">新能源 业绩 利润下降 风电 装机 补贴 现金流 税收 绿色化工 乙醇 甲醇 风速 限电 电价 专利 催化剂 融资 建设 船东 燃料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华源证券举办年度业绩交流会，聚焦家族新能源公司2026年半年度业绩。业绩显示归母净利润同比下滑48%，归因于风速减少、现金成本增加、电价下降及税收政策调整。面对挑战，公司采取融资置换策略以降低财务负担，并规划风电新增装机及绿色化工项目以提振利润与现金流。公司强调保密原则，提醒与会者勿泄露会议详情。同时，分享了绿色化工进展、与中船等企业的合作情况，以及对市场趋势与未来的乐观展望，表达了对投资者持续关注与支持的感激。</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家族新能2026年半年度业绩交流</w:t>
      </w:r>
    </w:p>
    <w:p>
      <w:r>
        <w:rPr>
          <w:rFonts w:ascii="等线(中文正文)" w:hAnsi="等线(中文正文)" w:cs="等线(中文正文)" w:eastAsia="等线(中文正文)"/>
          <w:b w:val="false"/>
          <w:i w:val="false"/>
          <w:sz w:val="20"/>
        </w:rPr>
        <w:t>家族新能2026年半年度业绩交流会中，公司归母净利润较同期下降48%，主要因风速下降、限电增长及税收政策调整。上半年经营性现金流增长23.7%，新增并网项目带来额外收入。公司计划通过融资置换降低财务成本，并实施回购计划。</w:t>
      </w:r>
    </w:p>
    <w:p>
      <w:r>
        <w:rPr>
          <w:rFonts w:ascii="等线(中文正文)" w:hAnsi="等线(中文正文)" w:cs="等线(中文正文)" w:eastAsia="等线(中文正文)"/>
          <w:b w:val="false"/>
          <w:i w:val="false"/>
          <w:sz w:val="20"/>
        </w:rPr>
        <w:t/>
      </w:r>
    </w:p>
    <w:p>
      <w:pPr>
        <w:pStyle w:val="ab"/>
        <w:numPr>
          <w:numId w:val="2"/>
        </w:numPr>
      </w:pPr>
      <w:r>
        <w:t>05:49 公司业绩展望与项目进展汇报</w:t>
      </w:r>
    </w:p>
    <w:p>
      <w:r>
        <w:rPr>
          <w:rFonts w:ascii="等线(中文正文)" w:hAnsi="等线(中文正文)" w:cs="等线(中文正文)" w:eastAsia="等线(中文正文)"/>
          <w:b w:val="false"/>
          <w:i w:val="false"/>
          <w:sz w:val="20"/>
        </w:rPr>
        <w:t>对话围绕公司未来业绩展望、政策导向下的利润改善、绿色化工项目进展及专利合作展开。预计限电和电价因素导致的利润下降为短期现象，公司计划通过新增风电装机和降低融资成本弥补影响。绿色化工项目按计划推进，预计28年一季度全面投产。此外，公司与专利持有方成立合资公司，专注于酶制剂相关技术的研发与提升，共同推动绿化工核心专利领域的发展。</w:t>
      </w:r>
    </w:p>
    <w:p>
      <w:r>
        <w:rPr>
          <w:rFonts w:ascii="等线(中文正文)" w:hAnsi="等线(中文正文)" w:cs="等线(中文正文)" w:eastAsia="等线(中文正文)"/>
          <w:b w:val="false"/>
          <w:i w:val="false"/>
          <w:sz w:val="20"/>
        </w:rPr>
        <w:t/>
      </w:r>
    </w:p>
    <w:p>
      <w:pPr>
        <w:pStyle w:val="ab"/>
        <w:numPr>
          <w:numId w:val="3"/>
        </w:numPr>
      </w:pPr>
      <w:r>
        <w:t>11:15 风电项目收益与国家补贴回流分析</w:t>
      </w:r>
    </w:p>
    <w:p>
      <w:r>
        <w:rPr>
          <w:rFonts w:ascii="等线(中文正文)" w:hAnsi="等线(中文正文)" w:cs="等线(中文正文)" w:eastAsia="等线(中文正文)"/>
          <w:b w:val="false"/>
          <w:i w:val="false"/>
          <w:sz w:val="20"/>
        </w:rPr>
        <w:t>对话讨论了风电项目上半年的盈利情况和IR水平，指出由于调试阶段影响，准确收益需至年底评估。同时，分享了上半年现金流改善，主要得益于国家补贴发放，包括七月份六亿补贴到位，去年全年回收16亿，回流速度显著提升，预计下半年仍有补贴回流，国家加速回补趋势明显。</w:t>
      </w:r>
    </w:p>
    <w:p>
      <w:r>
        <w:rPr>
          <w:rFonts w:ascii="等线(中文正文)" w:hAnsi="等线(中文正文)" w:cs="等线(中文正文)" w:eastAsia="等线(中文正文)"/>
          <w:b w:val="false"/>
          <w:i w:val="false"/>
          <w:sz w:val="20"/>
        </w:rPr>
        <w:t/>
      </w:r>
    </w:p>
    <w:p>
      <w:pPr>
        <w:pStyle w:val="ab"/>
        <w:numPr>
          <w:numId w:val="4"/>
        </w:numPr>
      </w:pPr>
      <w:r>
        <w:t>14:29 公司与中传绿色燃料合作进展</w:t>
      </w:r>
    </w:p>
    <w:p>
      <w:r>
        <w:rPr>
          <w:rFonts w:ascii="等线(中文正文)" w:hAnsi="等线(中文正文)" w:cs="等线(中文正文)" w:eastAsia="等线(中文正文)"/>
          <w:b w:val="false"/>
          <w:i w:val="false"/>
          <w:sz w:val="20"/>
        </w:rPr>
        <w:t>对话围绕公司与中传及其他船东在绿色燃料合作方面的协议签署流程展开，详细介绍了从保密协议到MOU，再到最终采购协议的步骤，以及项目进展对协议签订的影响。讨论中提及乙醇和甲醇作为船用燃料的市场应用情况，强调了两种燃料在当前能源转型背景下的重要性。同时，明确了提问方式，便于会后交流。</w:t>
      </w:r>
    </w:p>
    <w:p>
      <w:r>
        <w:rPr>
          <w:rFonts w:ascii="等线(中文正文)" w:hAnsi="等线(中文正文)" w:cs="等线(中文正文)" w:eastAsia="等线(中文正文)"/>
          <w:b w:val="false"/>
          <w:i w:val="false"/>
          <w:sz w:val="20"/>
        </w:rPr>
        <w:t/>
      </w:r>
    </w:p>
    <w:p>
      <w:pPr>
        <w:pStyle w:val="ab"/>
        <w:numPr>
          <w:numId w:val="5"/>
        </w:numPr>
      </w:pPr>
      <w:r>
        <w:t>17:58 税收与限电对利润影响及下半年现金流预期</w:t>
      </w:r>
    </w:p>
    <w:p>
      <w:r>
        <w:rPr>
          <w:rFonts w:ascii="等线(中文正文)" w:hAnsi="等线(中文正文)" w:cs="等线(中文正文)" w:eastAsia="等线(中文正文)"/>
          <w:b w:val="false"/>
          <w:i w:val="false"/>
          <w:sz w:val="20"/>
        </w:rPr>
        <w:t>讨论了上半年税收对利润影响达30%-40%，限电率上升导致山东地区收入下降大几千万，全年利润下降超50%。预计下半年race落地将极大改善现金流，预计增加近10亿自有资金，支持公司未来发展。</w:t>
      </w:r>
    </w:p>
    <w:p>
      <w:r>
        <w:rPr>
          <w:rFonts w:ascii="等线(中文正文)" w:hAnsi="等线(中文正文)" w:cs="等线(中文正文)" w:eastAsia="等线(中文正文)"/>
          <w:b w:val="false"/>
          <w:i w:val="false"/>
          <w:sz w:val="20"/>
        </w:rPr>
        <w:t/>
      </w:r>
    </w:p>
    <w:p>
      <w:pPr>
        <w:pStyle w:val="ab"/>
        <w:numPr>
          <w:numId w:val="6"/>
        </w:numPr>
      </w:pPr>
      <w:r>
        <w:t>22:01 绿色化工与新能源项目布局及盈利分析</w:t>
      </w:r>
    </w:p>
    <w:p>
      <w:r>
        <w:rPr>
          <w:rFonts w:ascii="等线(中文正文)" w:hAnsi="等线(中文正文)" w:cs="等线(中文正文)" w:eastAsia="等线(中文正文)"/>
          <w:b w:val="false"/>
          <w:i w:val="false"/>
          <w:sz w:val="20"/>
        </w:rPr>
        <w:t>对话围绕绿色化工项目布局与新能源盈利状况展开，提及黑龙江、太原等地项目进展，强调技术优化提升利润空间，同时分析新能源资产结构与风电优势，确保无减值风险，风电投资成本维持在行业低水平。</w:t>
      </w:r>
    </w:p>
    <w:p>
      <w:r>
        <w:rPr>
          <w:rFonts w:ascii="等线(中文正文)" w:hAnsi="等线(中文正文)" w:cs="等线(中文正文)" w:eastAsia="等线(中文正文)"/>
          <w:b w:val="false"/>
          <w:i w:val="false"/>
          <w:sz w:val="20"/>
        </w:rPr>
        <w:t/>
      </w:r>
    </w:p>
    <w:p>
      <w:pPr>
        <w:pStyle w:val="ab"/>
        <w:numPr>
          <w:numId w:val="7"/>
        </w:numPr>
      </w:pPr>
      <w:r>
        <w:t>27:51 绿色化工与新能源项目进展及未来展望</w:t>
      </w:r>
    </w:p>
    <w:p>
      <w:r>
        <w:rPr>
          <w:rFonts w:ascii="等线(中文正文)" w:hAnsi="等线(中文正文)" w:cs="等线(中文正文)" w:eastAsia="等线(中文正文)"/>
          <w:b w:val="false"/>
          <w:i w:val="false"/>
          <w:sz w:val="20"/>
        </w:rPr>
        <w:t>对话围绕绿色化工和新能源项目的合作与进展展开，提及了与中传染的深入合作、SARS子公司成立后的政策利好及价格趋势，以及公司未来双主营策略的规划，即通过绿色发电与绿色化工共振，推动公司利润增长和市值提升。</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主持的年度业绩交流会议，主要回顾了公司上半年的业绩状况，并对未来发展进行了展望。会议强调所有内容仅供内部参考，不得外泄。他指出，尽管归母净利润同比下滑48%，但经营性现金流却同比增长23.7%。业绩下滑主要归因于风速减少、现金利率上升、电价下跌以及税收优惠到期等因素。同时，新并网项目的增加和财务成本的降低对公司的正面影响显著。此外，他提到了公司的回购增持计划和绿色化工项目的进展，预示着未来业绩的稳定增长。最后，他邀请参会者提问，并表达了公司对新能源和绿色化工领域持续关注的立场，期待投资者的关注与支持。</w:t>
      </w:r>
    </w:p>
    <w:p>
      <w:r>
        <w:rPr>
          <w:rFonts w:ascii="等线(中文正文)" w:hAnsi="等线(中文正文)" w:cs="等线(中文正文)" w:eastAsia="等线(中文正文)"/>
          <w:b w:val="false"/>
          <w:i w:val="false"/>
          <w:sz w:val="20"/>
        </w:rPr>
        <w:t/>
      </w:r>
    </w:p>
    <w:p>
      <w:pPr>
        <w:pStyle w:val="a7"/>
      </w:pPr>
      <w:r>
        <w:t>要点回顾</w:t>
      </w:r>
    </w:p>
    <w:p>
      <w:pPr>
        <w:pStyle w:val="ab"/>
      </w:pPr>
      <w:r>
        <w:t>在本次电话会议中，业绩交流的内容是否可以对外泄露或分享？请王总简要介绍一下公司2026年上半年的业绩情况及全年展望？</w:t>
      </w:r>
    </w:p>
    <w:p>
      <w:r>
        <w:rPr>
          <w:rFonts w:ascii="等线(中文正文)" w:hAnsi="等线(中文正文)" w:cs="等线(中文正文)" w:eastAsia="等线(中文正文)"/>
          <w:b w:val="false"/>
          <w:i w:val="false"/>
          <w:sz w:val="20"/>
        </w:rPr>
        <w:t>发言人1：不可以，本次电话会议交流内容仅限参会人员内部参考，任何机构或个人不得以任何形式泄露或外发。华源证券保留追究泄露转发者法律责任的权利。2026年截止六月，公司归母净利润较同期下降48%，为2.37亿，经营性现金流同比增长23.7%。利润下降主要归因于风速下降、现金率上升导致的收入与利润下降（占比50%），电价下降造成约15%的利润损失，以及税收政策变化带来的利润减少（占比35%）。尽管如此，公司通过并网黑龙江、广西等项目的新增机组增加了两千多万收入，并预计下半年有约三四百兆瓦新增机组并网，同时通过融资置换降低了财务成本。</w:t>
      </w:r>
    </w:p>
    <w:p>
      <w:r>
        <w:rPr>
          <w:rFonts w:ascii="等线(中文正文)" w:hAnsi="等线(中文正文)" w:cs="等线(中文正文)" w:eastAsia="等线(中文正文)"/>
          <w:b w:val="false"/>
          <w:i w:val="false"/>
          <w:sz w:val="20"/>
        </w:rPr>
        <w:t/>
      </w:r>
    </w:p>
    <w:p>
      <w:pPr>
        <w:pStyle w:val="ab"/>
      </w:pPr>
      <w:r>
        <w:t>针对未来发电业务的利润状况以及新能源相关项目的进展，请您分析一下？</w:t>
      </w:r>
    </w:p>
    <w:p>
      <w:r>
        <w:rPr>
          <w:rFonts w:ascii="等线(中文正文)" w:hAnsi="等线(中文正文)" w:cs="等线(中文正文)" w:eastAsia="等线(中文正文)"/>
          <w:b w:val="false"/>
          <w:i w:val="false"/>
          <w:sz w:val="20"/>
        </w:rPr>
        <w:t>发言人1：今年由于限电和电价因素导致的利润下降预计为短期行为，未来一到下半年会有所改善。同时，部分由于税收造成的利润下降可通过降低融资成本和稳步完成风电新增装机来弥补。另外，公司绿色化工项目进展顺利，计划于年底完成地下基础建设，明年分阶段完工并投产，这将对公司利润产生积极影响。</w:t>
      </w:r>
    </w:p>
    <w:p>
      <w:r>
        <w:rPr>
          <w:rFonts w:ascii="等线(中文正文)" w:hAnsi="等线(中文正文)" w:cs="等线(中文正文)" w:eastAsia="等线(中文正文)"/>
          <w:b w:val="false"/>
          <w:i w:val="false"/>
          <w:sz w:val="20"/>
        </w:rPr>
        <w:t/>
      </w:r>
    </w:p>
    <w:p>
      <w:pPr>
        <w:pStyle w:val="ab"/>
      </w:pPr>
      <w:r>
        <w:t>公司当前在回购、可转债转股以及未来风电新增装机等方面的进展如何？</w:t>
      </w:r>
    </w:p>
    <w:p>
      <w:r>
        <w:rPr>
          <w:rFonts w:ascii="等线(中文正文)" w:hAnsi="等线(中文正文)" w:cs="等线(中文正文)" w:eastAsia="等线(中文正文)"/>
          <w:b w:val="false"/>
          <w:i w:val="false"/>
          <w:sz w:val="20"/>
        </w:rPr>
        <w:t>发言人1：截至2026年7月底，公司已完成1.73亿回购，占总股本的1.31%，剩余可用于回购额度约为3亿，且可转债已到期，转股比例高达99.86%。此外，公司预计今年下半年至明年将有600至700兆瓦新增风电装机，且已通过融资置换降低了财务成本，每年可减少几千万的融资成本。</w:t>
      </w:r>
    </w:p>
    <w:p>
      <w:r>
        <w:rPr>
          <w:rFonts w:ascii="等线(中文正文)" w:hAnsi="等线(中文正文)" w:cs="等线(中文正文)" w:eastAsia="等线(中文正文)"/>
          <w:b w:val="false"/>
          <w:i w:val="false"/>
          <w:sz w:val="20"/>
        </w:rPr>
        <w:t/>
      </w:r>
    </w:p>
    <w:p>
      <w:pPr>
        <w:pStyle w:val="ab"/>
      </w:pPr>
      <w:r>
        <w:t>关于乙醇项目的专利情况及其在合资公司中的安排是怎样的？</w:t>
      </w:r>
    </w:p>
    <w:p>
      <w:r>
        <w:rPr>
          <w:rFonts w:ascii="等线(中文正文)" w:hAnsi="等线(中文正文)" w:cs="等线(中文正文)" w:eastAsia="等线(中文正文)"/>
          <w:b w:val="false"/>
          <w:i w:val="false"/>
          <w:sz w:val="20"/>
        </w:rPr>
        <w:t>发言人1：公司持有乙醇相关酶制剂技术专利的公司成立了合资公司，股权占比40%，对方占60%，但在五年内对方将把20%投票权委托给公司。合资公司主要负责持有相关菌株、专利技术及后续科研投入，致力于绿化工专利核心领域的技术研发和提升。</w:t>
      </w:r>
    </w:p>
    <w:p>
      <w:r>
        <w:rPr>
          <w:rFonts w:ascii="等线(中文正文)" w:hAnsi="等线(中文正文)" w:cs="等线(中文正文)" w:eastAsia="等线(中文正文)"/>
          <w:b w:val="false"/>
          <w:i w:val="false"/>
          <w:sz w:val="20"/>
        </w:rPr>
        <w:t/>
      </w:r>
    </w:p>
    <w:p>
      <w:pPr>
        <w:pStyle w:val="ab"/>
      </w:pPr>
      <w:r>
        <w:t>首先我想问一下，上半年投产的广西和黑龙江风电机组的盈利情况以及IR水平如何？</w:t>
      </w:r>
    </w:p>
    <w:p>
      <w:r>
        <w:rPr>
          <w:rFonts w:ascii="等线(中文正文)" w:hAnsi="等线(中文正文)" w:cs="等线(中文正文)" w:eastAsia="等线(中文正文)"/>
          <w:b w:val="false"/>
          <w:i w:val="false"/>
          <w:sz w:val="20"/>
        </w:rPr>
        <w:t>发言人1：由于上半年机组并网后还需调试阶段，发电数据不够准确，所以目前还无法准确测算其收益水平。具体的收益数据预计要到年底半年发电期结束后，相关运转稳定后才能较为准确。</w:t>
      </w:r>
    </w:p>
    <w:p>
      <w:r>
        <w:rPr>
          <w:rFonts w:ascii="等线(中文正文)" w:hAnsi="等线(中文正文)" w:cs="等线(中文正文)" w:eastAsia="等线(中文正文)"/>
          <w:b w:val="false"/>
          <w:i w:val="false"/>
          <w:sz w:val="20"/>
        </w:rPr>
        <w:t/>
      </w:r>
    </w:p>
    <w:p>
      <w:pPr>
        <w:pStyle w:val="ab"/>
      </w:pPr>
      <w:r>
        <w:t>上半年公司是否获得了国家补贴的发放，并能否分享一下相关信息？</w:t>
      </w:r>
    </w:p>
    <w:p>
      <w:r>
        <w:rPr>
          <w:rFonts w:ascii="等线(中文正文)" w:hAnsi="等线(中文正文)" w:cs="等线(中文正文)" w:eastAsia="等线(中文正文)"/>
          <w:b w:val="false"/>
          <w:i w:val="false"/>
          <w:sz w:val="20"/>
        </w:rPr>
        <w:t>发言人1：上半年获得的第一笔补贴是七月份到账的，大约六个多亿。从报表上看，2026年上半年补贴无法直接看出。但整个公司的现金流水平很好，大股东定增12亿到账，去年电网超额发放了16亿补贴也已到账，加上今年七月份的六亿补贴，公司现金流充裕。</w:t>
      </w:r>
    </w:p>
    <w:p>
      <w:r>
        <w:rPr>
          <w:rFonts w:ascii="等线(中文正文)" w:hAnsi="等线(中文正文)" w:cs="等线(中文正文)" w:eastAsia="等线(中文正文)"/>
          <w:b w:val="false"/>
          <w:i w:val="false"/>
          <w:sz w:val="20"/>
        </w:rPr>
        <w:t/>
      </w:r>
    </w:p>
    <w:p>
      <w:pPr>
        <w:pStyle w:val="ab"/>
      </w:pPr>
      <w:r>
        <w:t>关于公司与中船合作的详细内容和进度能否介绍一下？</w:t>
      </w:r>
    </w:p>
    <w:p>
      <w:r>
        <w:rPr>
          <w:rFonts w:ascii="等线(中文正文)" w:hAnsi="等线(中文正文)" w:cs="等线(中文正文)" w:eastAsia="等线(中文正文)"/>
          <w:b w:val="false"/>
          <w:i w:val="false"/>
          <w:sz w:val="20"/>
        </w:rPr>
        <w:t>发言人1：公司与中船等大型船商的合作通常分为几个阶段，包括保密协议、框架合作协议、MOU（量子备忘录）等，最终才会签订交付不易的采购协议。目前，包括中船在内的几家大型船商已签署MOU，但距离签长协还需进一步商务沟通和项目建设进度达到一定程度。</w:t>
      </w:r>
    </w:p>
    <w:p>
      <w:r>
        <w:rPr>
          <w:rFonts w:ascii="等线(中文正文)" w:hAnsi="等线(中文正文)" w:cs="等线(中文正文)" w:eastAsia="等线(中文正文)"/>
          <w:b w:val="false"/>
          <w:i w:val="false"/>
          <w:sz w:val="20"/>
        </w:rPr>
        <w:t/>
      </w:r>
    </w:p>
    <w:p>
      <w:pPr>
        <w:pStyle w:val="ab"/>
      </w:pPr>
      <w:r>
        <w:t>关于宁夏和山东机组上半年利润的影响，绝对值大概是什么样的？山东目前的限电率大约是多少，以及对今年和明年利润的影响判断如何？</w:t>
      </w:r>
    </w:p>
    <w:p>
      <w:r>
        <w:rPr>
          <w:rFonts w:ascii="等线(中文正文)" w:hAnsi="等线(中文正文)" w:cs="等线(中文正文)" w:eastAsia="等线(中文正文)"/>
          <w:b w:val="false"/>
          <w:i w:val="false"/>
          <w:sz w:val="20"/>
        </w:rPr>
        <w:t>发言人1：山东机组的影响较大，主要是因为今年风速下降和限电率上升导致收入减少了几千万，其中限电率的增加对利润的影响最为显著。山东目前限电率为10%左右，上半年因消纳问题现金状况较好，但从7月8日的数据来看，已有很大改善。对于未来，限电率的影响还需进一步观察。</w:t>
      </w:r>
    </w:p>
    <w:p>
      <w:r>
        <w:rPr>
          <w:rFonts w:ascii="等线(中文正文)" w:hAnsi="等线(中文正文)" w:cs="等线(中文正文)" w:eastAsia="等线(中文正文)"/>
          <w:b w:val="false"/>
          <w:i w:val="false"/>
          <w:sz w:val="20"/>
        </w:rPr>
        <w:t/>
      </w:r>
    </w:p>
    <w:p>
      <w:pPr>
        <w:pStyle w:val="ab"/>
      </w:pPr>
      <w:r>
        <w:t>下半年大概率会落地的race项目，预期贡献的利润及回笼现金流的水平是什么样的？</w:t>
      </w:r>
    </w:p>
    <w:p>
      <w:r>
        <w:rPr>
          <w:rFonts w:ascii="等线(中文正文)" w:hAnsi="等线(中文正文)" w:cs="等线(中文正文)" w:eastAsia="等线(中文正文)"/>
          <w:b w:val="false"/>
          <w:i w:val="false"/>
          <w:sz w:val="20"/>
        </w:rPr>
        <w:t>发言人1：目前还未给出具体预期利润和现金流回笼水平，但该问题有待进一步讨论和了解。</w:t>
      </w:r>
    </w:p>
    <w:p>
      <w:r>
        <w:rPr>
          <w:rFonts w:ascii="等线(中文正文)" w:hAnsi="等线(中文正文)" w:cs="等线(中文正文)" w:eastAsia="等线(中文正文)"/>
          <w:b w:val="false"/>
          <w:i w:val="false"/>
          <w:sz w:val="20"/>
        </w:rPr>
        <w:t/>
      </w:r>
    </w:p>
    <w:p>
      <w:pPr>
        <w:pStyle w:val="ab"/>
      </w:pPr>
      <w:r>
        <w:t>首先，利润水平是否有所改善？现金流状况如何？</w:t>
      </w:r>
    </w:p>
    <w:p>
      <w:r>
        <w:rPr>
          <w:rFonts w:ascii="等线(中文正文)" w:hAnsi="等线(中文正文)" w:cs="等线(中文正文)" w:eastAsia="等线(中文正文)"/>
          <w:b w:val="false"/>
          <w:i w:val="false"/>
          <w:sz w:val="20"/>
        </w:rPr>
        <w:t>发言人1：利润水平不太好说，但从现金流角度看，情况极大改善并极大增加了现金流。通过发行债券置换原有贷款，使得发行完成后回笼的资金全部为上市公司的自有资金，预计能有近十个亿的增加。加上今年的补贴，公司的现金流相当充足，足以支持公司投资36亿打造第二主营业务的核心体系。</w:t>
      </w:r>
    </w:p>
    <w:p>
      <w:r>
        <w:rPr>
          <w:rFonts w:ascii="等线(中文正文)" w:hAnsi="等线(中文正文)" w:cs="等线(中文正文)" w:eastAsia="等线(中文正文)"/>
          <w:b w:val="false"/>
          <w:i w:val="false"/>
          <w:sz w:val="20"/>
        </w:rPr>
        <w:t/>
      </w:r>
    </w:p>
    <w:p>
      <w:pPr>
        <w:pStyle w:val="ab"/>
      </w:pPr>
      <w:r>
        <w:t>公司的绿色化工项目布局有哪些地区，以及未来的规划是怎样的？</w:t>
      </w:r>
    </w:p>
    <w:p>
      <w:r>
        <w:rPr>
          <w:rFonts w:ascii="等线(中文正文)" w:hAnsi="等线(中文正文)" w:cs="等线(中文正文)" w:eastAsia="等线(中文正文)"/>
          <w:b w:val="false"/>
          <w:i w:val="false"/>
          <w:sz w:val="20"/>
        </w:rPr>
        <w:t>发言人1：绿色化工项目的布局包括黑龙江一期已经开工，以及山西、吉林、广西等地，未来五年发展规划将围绕这些区域展开。具体项目如七七项目涉及乙醇和甲醇生产，主要产品为乙醇、甲醇和萨。其中，萨普公司已正式注册并投入运营。此外，公司在太原也有类似黑龙江项目的布局，预计利润与成本会随着技术提升而持续下降。</w:t>
      </w:r>
    </w:p>
    <w:p>
      <w:r>
        <w:rPr>
          <w:rFonts w:ascii="等线(中文正文)" w:hAnsi="等线(中文正文)" w:cs="等线(中文正文)" w:eastAsia="等线(中文正文)"/>
          <w:b w:val="false"/>
          <w:i w:val="false"/>
          <w:sz w:val="20"/>
        </w:rPr>
        <w:t/>
      </w:r>
    </w:p>
    <w:p>
      <w:pPr>
        <w:pStyle w:val="ab"/>
      </w:pPr>
      <w:r>
        <w:t>在不同地区的项目之间，原料成本等是否相差不大，以及新能源行业的盈利状况如何？</w:t>
      </w:r>
    </w:p>
    <w:p>
      <w:r>
        <w:rPr>
          <w:rFonts w:ascii="等线(中文正文)" w:hAnsi="等线(中文正文)" w:cs="等线(中文正文)" w:eastAsia="等线(中文正文)"/>
          <w:b w:val="false"/>
          <w:i w:val="false"/>
          <w:sz w:val="20"/>
        </w:rPr>
        <w:t>发言人1：不同地区的项目在原料成本等方面存在一定的地域性差异，但公司正通过持续优化降低成本和提升利润。目前公司在绿色化工领域的布局中，尽管新能源行业整体利润较低，甚至部分机组可能出现减值情况，但由于公司在风电领域的前瞻布局和高利用率、高毛利率，即使受到电价限制冲击，实现减值的可能性很小。</w:t>
      </w:r>
    </w:p>
    <w:p>
      <w:r>
        <w:rPr>
          <w:rFonts w:ascii="等线(中文正文)" w:hAnsi="等线(中文正文)" w:cs="等线(中文正文)" w:eastAsia="等线(中文正文)"/>
          <w:b w:val="false"/>
          <w:i w:val="false"/>
          <w:sz w:val="20"/>
        </w:rPr>
        <w:t/>
      </w:r>
    </w:p>
    <w:p>
      <w:pPr>
        <w:pStyle w:val="ab"/>
      </w:pPr>
      <w:r>
        <w:t>关于新增风电项目的盈利情况，特别是在黑龙江和广西的投资成本是多少？</w:t>
      </w:r>
    </w:p>
    <w:p>
      <w:r>
        <w:rPr>
          <w:rFonts w:ascii="等线(中文正文)" w:hAnsi="等线(中文正文)" w:cs="等线(中文正文)" w:eastAsia="等线(中文正文)"/>
          <w:b w:val="false"/>
          <w:i w:val="false"/>
          <w:sz w:val="20"/>
        </w:rPr>
        <w:t>发言人1：目前行业的风电投资成本已经快速下降，行业平均水平大约在每千瓦时4.5到5元左右，而公司现在的风电投资成本比行业水平更低一些。</w:t>
      </w:r>
    </w:p>
    <w:p>
      <w:r>
        <w:rPr>
          <w:rFonts w:ascii="等线(中文正文)" w:hAnsi="等线(中文正文)" w:cs="等线(中文正文)" w:eastAsia="等线(中文正文)"/>
          <w:b w:val="false"/>
          <w:i w:val="false"/>
          <w:sz w:val="20"/>
        </w:rPr>
        <w:t/>
      </w:r>
    </w:p>
    <w:p>
      <w:pPr>
        <w:pStyle w:val="ab"/>
      </w:pPr>
      <w:r>
        <w:t>在绿色化工领域，下半年有哪些下游合作进展可以分享？</w:t>
      </w:r>
    </w:p>
    <w:p>
      <w:r>
        <w:rPr>
          <w:rFonts w:ascii="等线(中文正文)" w:hAnsi="等线(中文正文)" w:cs="等线(中文正文)" w:eastAsia="等线(中文正文)"/>
          <w:b w:val="false"/>
          <w:i w:val="false"/>
          <w:sz w:val="20"/>
        </w:rPr>
        <w:t>发言人1：下半年公司在绿色化工领域会有一些深入的合作进展，但由于涉及商业形态保密要求及信息披露规定，目前还不便公开具体细节，需要关注后续披露信息。</w:t>
      </w:r>
    </w:p>
    <w:p>
      <w:r>
        <w:rPr>
          <w:rFonts w:ascii="等线(中文正文)" w:hAnsi="等线(中文正文)" w:cs="等线(中文正文)" w:eastAsia="等线(中文正文)"/>
          <w:b w:val="false"/>
          <w:i w:val="false"/>
          <w:sz w:val="20"/>
        </w:rPr>
        <w:t/>
      </w:r>
    </w:p>
    <w:p>
      <w:pPr>
        <w:pStyle w:val="ab"/>
      </w:pPr>
      <w:r>
        <w:t>对于SARS项目，下半年能看到哪些进展？</w:t>
      </w:r>
    </w:p>
    <w:p>
      <w:r>
        <w:rPr>
          <w:rFonts w:ascii="等线(中文正文)" w:hAnsi="等线(中文正文)" w:cs="等线(中文正文)" w:eastAsia="等线(中文正文)"/>
          <w:b w:val="false"/>
          <w:i w:val="false"/>
          <w:sz w:val="20"/>
        </w:rPr>
        <w:t>发言人1：下半年对于SARS项目，子公司刚刚成立，主要进展在于随着全球政策趋紧和萨克价格持续上升，尤其是欧盟地区政策明确且严格执行惩罚机制，这为SARS项目的推进提供了良好外部环境。公司希望尽快将SAR项目投入正式建设，并与新能源项目中的乙醇生产同步进行。</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2026-08-23T14:14:48Z</dcterms:created>
  <dc:creator>Apache POI</dc:creator>
</cp:coreProperties>
</file>