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申万宏源策略_大势申音·每周论势5分钟 260823_导读</w:t>
      </w:r>
    </w:p>
    <w:p>
      <w:pPr>
        <w:pStyle w:val="a0"/>
        <w:jc w:val="center"/>
      </w:pPr>
      <w:r>
        <w:t>2026年08月23日 22:06</w:t>
      </w:r>
    </w:p>
    <w:p>
      <w:pPr>
        <w:pStyle w:val="a7"/>
      </w:pPr>
      <w:r>
        <w:t>关键词</w:t>
      </w:r>
    </w:p>
    <w:p>
      <w:r>
        <w:rPr>
          <w:rFonts w:ascii="等线(中文正文)" w:hAnsi="等线(中文正文)" w:cs="等线(中文正文)" w:eastAsia="等线(中文正文)"/>
          <w:b w:val="false"/>
          <w:i w:val="false"/>
          <w:sz w:val="20"/>
        </w:rPr>
        <w:t xml:space="preserve">AI产业链 超跌反弹 美债收益率 二次探底 科技震荡 产业趋势 高股息资产 全球算力链 非科技方向 创新药 贵金属 工业金属 金属化工 银行 非银 食品饮料 公用事业 C叉O 九月反弹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期节目回顾了短期市场的走势与人工智能产业链的表现，总体符合预期，并对市场未来的走势进行了展望。短期内，市场出现了超跌反弹，基本面研究的有效性得到恢复，预计二次探底后会有一波逢低配置的反弹，延续到9月下旬的概率较大。之后，市场将面临三季报业绩的消化、估值的调整，以及产业催化和新共识的形成。讨论了美债收益率对市场的影响，指出其既包含中期因素也涉及短期波动，可能引发市场风险的集中释放。在结构选择上，建议关注超跌反弹修复跌幅的领域，如AI产业链中的非机构重仓部分、国产算力链、小盘股等，同时也推荐关注C叉O创新药、贵金属、工业金属和金属化工等非科技方向的投资机会。最后，强调了寻找高股息资产的重要性，并提供了公募基金持仓权重作为参考思路。</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AI产业链走势分析与未来展望</w:t>
      </w:r>
    </w:p>
    <w:p>
      <w:r>
        <w:rPr>
          <w:rFonts w:ascii="等线(中文正文)" w:hAnsi="等线(中文正文)" w:cs="等线(中文正文)" w:eastAsia="等线(中文正文)"/>
          <w:b w:val="false"/>
          <w:i w:val="false"/>
          <w:sz w:val="20"/>
        </w:rPr>
        <w:t>对话深入探讨了AI产业链的短期市场走势及未来展望，指出超跌反弹已现，二次探底正在进行，中短期乐观预期可能集中发酵，但九月AI链超跌反弹高点可能无法突破前高，创新高需基本面预期超越六月底。强调了AI链创新高需重磅产业催化，形成新共识，市场可能预期科技震荡调整波段拉长。</w:t>
      </w:r>
    </w:p>
    <w:p>
      <w:r>
        <w:rPr>
          <w:rFonts w:ascii="等线(中文正文)" w:hAnsi="等线(中文正文)" w:cs="等线(中文正文)" w:eastAsia="等线(中文正文)"/>
          <w:b w:val="false"/>
          <w:i w:val="false"/>
          <w:sz w:val="20"/>
        </w:rPr>
        <w:t/>
      </w:r>
    </w:p>
    <w:p>
      <w:pPr>
        <w:pStyle w:val="ab"/>
        <w:numPr>
          <w:numId w:val="2"/>
        </w:numPr>
      </w:pPr>
      <w:r>
        <w:t>01:23 美债收益率上行：中期风险与短期波动的交织影响</w:t>
      </w:r>
    </w:p>
    <w:p>
      <w:r>
        <w:rPr>
          <w:rFonts w:ascii="等线(中文正文)" w:hAnsi="等线(中文正文)" w:cs="等线(中文正文)" w:eastAsia="等线(中文正文)"/>
          <w:b w:val="false"/>
          <w:i w:val="false"/>
          <w:sz w:val="20"/>
        </w:rPr>
        <w:t>讨论了美债收益率上行的中期和短期因素，指出中期风险包括通胀预期上升、被动加息担忧及财政政策影响，短期波动则受科技产业扰动和市场关注度提升影响。强调了AI产业链融资高企带来的信用风险治理难题，以及未来政策应对可能的方向。分析了短期高美债收益率可能引发的风险冲击，以及九月反弹中结构选择的重点方向，包括国产算力链和小盘股等高弹性板块。</w:t>
      </w:r>
    </w:p>
    <w:p>
      <w:r>
        <w:rPr>
          <w:rFonts w:ascii="等线(中文正文)" w:hAnsi="等线(中文正文)" w:cs="等线(中文正文)" w:eastAsia="等线(中文正文)"/>
          <w:b w:val="false"/>
          <w:i w:val="false"/>
          <w:sz w:val="20"/>
        </w:rPr>
        <w:t/>
      </w:r>
    </w:p>
    <w:p>
      <w:pPr>
        <w:pStyle w:val="ab"/>
        <w:numPr>
          <w:numId w:val="3"/>
        </w:numPr>
      </w:pPr>
      <w:r>
        <w:t>03:25 科技调整期投资策略：高股息资产与非科技赛道机会</w:t>
      </w:r>
    </w:p>
    <w:p>
      <w:r>
        <w:rPr>
          <w:rFonts w:ascii="等线(中文正文)" w:hAnsi="等线(中文正文)" w:cs="等线(中文正文)" w:eastAsia="等线(中文正文)"/>
          <w:b w:val="false"/>
          <w:i w:val="false"/>
          <w:sz w:val="20"/>
        </w:rPr>
        <w:t>市场预期科技股震荡调整将延长，非科技方向表现有望增强，高股息资产收益时间拉长。重点关注C叉O创新药、贵金属、工业金属和金属化工投资机会，中期调整增加，公募基金持仓权重可作为寻找高股息资产的思路，银行、非银、食品饮料和公用事业领域有绝对收益机会。</w:t>
      </w:r>
    </w:p>
    <w:p>
      <w:r>
        <w:rPr>
          <w:rFonts w:ascii="等线(中文正文)" w:hAnsi="等线(中文正文)" w:cs="等线(中文正文)" w:eastAsia="等线(中文正文)"/>
          <w:b w:val="false"/>
          <w:i w:val="false"/>
          <w:sz w:val="20"/>
        </w:rPr>
        <w:t/>
      </w:r>
    </w:p>
    <w:p>
      <w:pPr>
        <w:pStyle w:val="a7"/>
      </w:pPr>
      <w:r>
        <w:t>发言总结</w:t>
      </w:r>
    </w:p>
    <w:p>
      <w:pPr>
        <w:pStyle w:val="ab"/>
        <w:numPr>
          <w:numId w:val="4"/>
        </w:numPr>
      </w:pPr>
      <w:r>
        <w:t>发言人1</w:t>
      </w:r>
    </w:p>
    <w:p>
      <w:r>
        <w:rPr>
          <w:rFonts w:ascii="等线(中文正文)" w:hAnsi="等线(中文正文)" w:cs="等线(中文正文)" w:eastAsia="等线(中文正文)"/>
          <w:b w:val="false"/>
          <w:i w:val="false"/>
          <w:sz w:val="20"/>
        </w:rPr>
        <w:t>总结了短期市场走势与AI产业链的发展情况，指出市场走势与之前对于AI产业链的推演基本符合，包括市场的超跌反弹、基本面研究的有效性恢复、二次探底、业绩消化和估值到位等阶段。同时，对高美债收益率的关注度提升以及其对市场的潜在影响进行了分析，预测反弹将持续到9月下旬，强调了行稳致远政策的潜力和AI产业链创新高的基本面预期。讨论了美债收益率上行的中期与短期因素，以及这对科技产业和市场的影响。最后，他提出了九月市场的结构选择重点，包括关注非机构重仓方向和高股息资产，以及重点关注的行业和投资机会，特别强调了非科技方向投资的重要性。</w:t>
      </w:r>
    </w:p>
    <w:p>
      <w:r>
        <w:rPr>
          <w:rFonts w:ascii="等线(中文正文)" w:hAnsi="等线(中文正文)" w:cs="等线(中文正文)" w:eastAsia="等线(中文正文)"/>
          <w:b w:val="false"/>
          <w:i w:val="false"/>
          <w:sz w:val="20"/>
        </w:rPr>
        <w:t/>
      </w:r>
    </w:p>
    <w:p>
      <w:pPr>
        <w:pStyle w:val="a7"/>
      </w:pPr>
      <w:r>
        <w:t>要点回顾</w:t>
      </w:r>
    </w:p>
    <w:p>
      <w:pPr>
        <w:pStyle w:val="ab"/>
      </w:pPr>
      <w:r>
        <w:t>AI产业链的短期市场走势符合什么推演？当前AI链超跌反弹的情况如何？</w:t>
      </w:r>
    </w:p>
    <w:p>
      <w:r>
        <w:rPr>
          <w:rFonts w:ascii="等线(中文正文)" w:hAnsi="等线(中文正文)" w:cs="等线(中文正文)" w:eastAsia="等线(中文正文)"/>
          <w:b w:val="false"/>
          <w:i w:val="false"/>
          <w:sz w:val="20"/>
        </w:rPr>
        <w:t>发言人1：短期市场走势基本符合AI产业链重拾强势四步走的推演，第一步是超跌反弹出现并恢复基本面研究有效性；第二步正在进行二次探底，持仓浮盈浮亏重回盈亏平衡线，但回调后逢低配置力量显现，反弹可能延续到9月下旬；第三步是26年三季报业绩消化和估值逐步到位，业绩高增将支持股价；第四步需重磅产业催化兑现，AI产业趋势凝聚新共识才能创新高。AI链超跌反弹高点可能无法突破前高，资金正循环难以迅速回到6月底的状态。AI链创新高需要基本面预期超越六月底，而本轮调整级别更高，可能是AI coding渗透率高位对应的调整行情，重启所需的产业催化级别也更高，市场可能在9月底形成新的产业趋势共识前无法突破前高，新一轮调整波段将会开启。</w:t>
      </w:r>
    </w:p>
    <w:p>
      <w:r>
        <w:rPr>
          <w:rFonts w:ascii="等线(中文正文)" w:hAnsi="等线(中文正文)" w:cs="等线(中文正文)" w:eastAsia="等线(中文正文)"/>
          <w:b w:val="false"/>
          <w:i w:val="false"/>
          <w:sz w:val="20"/>
        </w:rPr>
        <w:t/>
      </w:r>
    </w:p>
    <w:p>
      <w:pPr>
        <w:pStyle w:val="ab"/>
      </w:pPr>
      <w:r>
        <w:t>美债收益率高企对市场有何影响？</w:t>
      </w:r>
    </w:p>
    <w:p>
      <w:r>
        <w:rPr>
          <w:rFonts w:ascii="等线(中文正文)" w:hAnsi="等线(中文正文)" w:cs="等线(中文正文)" w:eastAsia="等线(中文正文)"/>
          <w:b w:val="false"/>
          <w:i w:val="false"/>
          <w:sz w:val="20"/>
        </w:rPr>
        <w:t>发言人1：美债收益率上行受到中期因素（如资源民族主义扩散推高中期通胀预期、美国财政利率弱化等）和短期因素（美债发行加大、AI产业链债券融资分流配置需求、黄金上涨等）的影响。短期市场关注度提升，导致科技产业扰动与美债收益率担忧叠加，加剧了短期调整幅度。高美债收益率背后的中期问题在于美国AI产业链融资高企及信用风险治理手段不足，而有效政策工具尚待加强。</w:t>
      </w:r>
    </w:p>
    <w:p>
      <w:r>
        <w:rPr>
          <w:rFonts w:ascii="等线(中文正文)" w:hAnsi="等线(中文正文)" w:cs="等线(中文正文)" w:eastAsia="等线(中文正文)"/>
          <w:b w:val="false"/>
          <w:i w:val="false"/>
          <w:sz w:val="20"/>
        </w:rPr>
        <w:t/>
      </w:r>
    </w:p>
    <w:p>
      <w:pPr>
        <w:pStyle w:val="ab"/>
      </w:pPr>
      <w:r>
        <w:t>对于结构选择有何建议？</w:t>
      </w:r>
    </w:p>
    <w:p>
      <w:r>
        <w:rPr>
          <w:rFonts w:ascii="等线(中文正文)" w:hAnsi="等线(中文正文)" w:cs="等线(中文正文)" w:eastAsia="等线(中文正文)"/>
          <w:b w:val="false"/>
          <w:i w:val="false"/>
          <w:sz w:val="20"/>
        </w:rPr>
        <w:t>发言人1：九月反弹延续期间，结构选择的重点在于寻找超跌反弹中能更大程度修复跌幅的方向，特别是关注非机构重仓方向，如国产算力链、小盘股以及全球算力链中景气向下拐点出现较晚且有新增催化的存储和PCB产业链等。</w:t>
      </w:r>
    </w:p>
    <w:p>
      <w:r>
        <w:rPr>
          <w:rFonts w:ascii="等线(中文正文)" w:hAnsi="等线(中文正文)" w:cs="等线(中文正文)" w:eastAsia="等线(中文正文)"/>
          <w:b w:val="false"/>
          <w:i w:val="false"/>
          <w:sz w:val="20"/>
        </w:rPr>
        <w:t/>
      </w:r>
    </w:p>
    <w:p>
      <w:pPr>
        <w:pStyle w:val="ab"/>
      </w:pPr>
      <w:r>
        <w:t>对于未来市场走势和投资机会有何预期？</w:t>
      </w:r>
    </w:p>
    <w:p>
      <w:r>
        <w:rPr>
          <w:rFonts w:ascii="等线(中文正文)" w:hAnsi="等线(中文正文)" w:cs="等线(中文正文)" w:eastAsia="等线(中文正文)"/>
          <w:b w:val="false"/>
          <w:i w:val="false"/>
          <w:sz w:val="20"/>
        </w:rPr>
        <w:t>发言人1：市场可能预期科技震荡调整波段拉长，非科技方向如CRO创新药、贵金属、工业金属和金属化工的投资机会增加。同时，高股息资产的绝对收益时间和中证800指数权重调整也可能成为关注点。此外，公募基金持仓权重中可寻找高股息资产的投资思路，重点关注银行、非银、食品饮料和公用事业的中期绝对收益机会。</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2026-08-23T14:14:57Z</dcterms:created>
  <dc:creator>Apache POI</dc:creator>
</cp:coreProperties>
</file>