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微泰医疗2026年中报业绩电话会 260823_导读</w:t>
      </w:r>
    </w:p>
    <w:p>
      <w:pPr>
        <w:pStyle w:val="a0"/>
        <w:jc w:val="center"/>
      </w:pPr>
      <w:r>
        <w:t>2026年08月23日 22:07</w:t>
      </w:r>
    </w:p>
    <w:p>
      <w:pPr>
        <w:pStyle w:val="a7"/>
      </w:pPr>
      <w:r>
        <w:t>关键词</w:t>
      </w:r>
    </w:p>
    <w:p>
      <w:r>
        <w:rPr>
          <w:rFonts w:ascii="等线(中文正文)" w:hAnsi="等线(中文正文)" w:cs="等线(中文正文)" w:eastAsia="等线(中文正文)"/>
          <w:b w:val="false"/>
          <w:i w:val="false"/>
          <w:sz w:val="20"/>
        </w:rPr>
        <w:t xml:space="preserve">CGM 血糖仪 线上会员 闭环人工一线 毛利率 产品线 胰岛素泵 微泰医疗 市场份额 电商市场 销售费用率 净利润 汇兑损失 药械协同 销售预期 推广计划 自费市场 价格优势 市场定位 复购率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公司上半年业绩表现出色，动态血糖监测系统（CGM）销售增长显著，尤其在线上渠道和国际市场取得骄人成绩，同比增长分别达到157%和115%。产品在血糖仪市场占据领先地位，全球市场快速扩张，尤其在欧洲、亚太、拉美和中东地区表现突出。国际市场上，收入达到1.55亿元人民币，同比增长迅速，彰显出巨大市场潜力和高增长率。公司强调，尽管已取得显著进展，但增长空间仍广阔。持续研发新产品，如二代分体式产品G9，旨在进一步丰富产品线，提高市场渗透率。对全年业绩持乐观态度，预计可超过年初预期。</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CGM市场增长与渠道分析</w:t>
      </w:r>
    </w:p>
    <w:p>
      <w:r>
        <w:rPr>
          <w:rFonts w:ascii="等线(中文正文)" w:hAnsi="等线(中文正文)" w:cs="等线(中文正文)" w:eastAsia="等线(中文正文)"/>
          <w:b w:val="false"/>
          <w:i w:val="false"/>
          <w:sz w:val="20"/>
        </w:rPr>
        <w:t>对话围绕CGM（连续血糖监测）市场的增长情况展开，强调了线上渠道尤其是电商分销的显著贡献，以及院内和线下零售的高增长。产品方面，一体式IXX已成为主导，占比超95%，而分体式G9即将获批，将进一步丰富产品线，提升市场渗透率。整体毛利率维持稳定，得益于成本控制和平台补贴。</w:t>
      </w:r>
    </w:p>
    <w:p>
      <w:r>
        <w:rPr>
          <w:rFonts w:ascii="等线(中文正文)" w:hAnsi="等线(中文正文)" w:cs="等线(中文正文)" w:eastAsia="等线(中文正文)"/>
          <w:b w:val="false"/>
          <w:i w:val="false"/>
          <w:sz w:val="20"/>
        </w:rPr>
        <w:t/>
      </w:r>
    </w:p>
    <w:p>
      <w:pPr>
        <w:pStyle w:val="ab"/>
        <w:numPr>
          <w:numId w:val="2"/>
        </w:numPr>
      </w:pPr>
      <w:r>
        <w:t>04:33 公司上半年业绩超预期，CGM收入及全年指引更新</w:t>
      </w:r>
    </w:p>
    <w:p>
      <w:r>
        <w:rPr>
          <w:rFonts w:ascii="等线(中文正文)" w:hAnsi="等线(中文正文)" w:cs="等线(中文正文)" w:eastAsia="等线(中文正文)"/>
          <w:b w:val="false"/>
          <w:i w:val="false"/>
          <w:sz w:val="20"/>
        </w:rPr>
        <w:t>上半年CGM收入国内外均实现高增长，国内增速超150%，海外增速亦显著，主要受大客户订单延迟影响，预计下半年增长更强劲。基于上半年超越预期的表现，公司上调全年收入指引至不低于40%，净利润增长预计不低于100%。</w:t>
      </w:r>
    </w:p>
    <w:p>
      <w:r>
        <w:rPr>
          <w:rFonts w:ascii="等线(中文正文)" w:hAnsi="等线(中文正文)" w:cs="等线(中文正文)" w:eastAsia="等线(中文正文)"/>
          <w:b w:val="false"/>
          <w:i w:val="false"/>
          <w:sz w:val="20"/>
        </w:rPr>
        <w:t/>
      </w:r>
    </w:p>
    <w:p>
      <w:pPr>
        <w:pStyle w:val="ab"/>
        <w:numPr>
          <w:numId w:val="3"/>
        </w:numPr>
      </w:pPr>
      <w:r>
        <w:t>06:36 公司毛利率提升与未来研发方向探讨</w:t>
      </w:r>
    </w:p>
    <w:p>
      <w:r>
        <w:rPr>
          <w:rFonts w:ascii="等线(中文正文)" w:hAnsi="等线(中文正文)" w:cs="等线(中文正文)" w:eastAsia="等线(中文正文)"/>
          <w:b w:val="false"/>
          <w:i w:val="false"/>
          <w:sz w:val="20"/>
        </w:rPr>
        <w:t>对话围绕公司上半年毛利率增长及未来毛利率预期展开，提及市场竞争对毛利率的影响。同时，讨论了公司未来研发方向，包括CGM技术平台向CXM拓展、泵产品的小型化与智能化，以及AI在血糖管理中的应用，展现了公司在垂直领域AI模型开发的进展。</w:t>
      </w:r>
    </w:p>
    <w:p>
      <w:r>
        <w:rPr>
          <w:rFonts w:ascii="等线(中文正文)" w:hAnsi="等线(中文正文)" w:cs="等线(中文正文)" w:eastAsia="等线(中文正文)"/>
          <w:b w:val="false"/>
          <w:i w:val="false"/>
          <w:sz w:val="20"/>
        </w:rPr>
        <w:t/>
      </w:r>
    </w:p>
    <w:p>
      <w:pPr>
        <w:pStyle w:val="ab"/>
        <w:numPr>
          <w:numId w:val="4"/>
        </w:numPr>
      </w:pPr>
      <w:r>
        <w:t>10:50 CGM市场竞争格局与策略探讨</w:t>
      </w:r>
    </w:p>
    <w:p>
      <w:r>
        <w:rPr>
          <w:rFonts w:ascii="等线(中文正文)" w:hAnsi="等线(中文正文)" w:cs="等线(中文正文)" w:eastAsia="等线(中文正文)"/>
          <w:b w:val="false"/>
          <w:i w:val="false"/>
          <w:sz w:val="20"/>
        </w:rPr>
        <w:t>对话围绕CGM市场竞争格局展开，指出尽管多家公司获批，但真正量产和市场渗透存在门槛，形成初步竞争格局。强调提升产品质量、丰富产品线及降低成本是关键策略，对新进入者持观望态度，关注其是否能成为主要竞争者。</w:t>
      </w:r>
    </w:p>
    <w:p>
      <w:r>
        <w:rPr>
          <w:rFonts w:ascii="等线(中文正文)" w:hAnsi="等线(中文正文)" w:cs="等线(中文正文)" w:eastAsia="等线(中文正文)"/>
          <w:b w:val="false"/>
          <w:i w:val="false"/>
          <w:sz w:val="20"/>
        </w:rPr>
        <w:t/>
      </w:r>
    </w:p>
    <w:p>
      <w:pPr>
        <w:pStyle w:val="ab"/>
        <w:numPr>
          <w:numId w:val="5"/>
        </w:numPr>
      </w:pPr>
      <w:r>
        <w:t>14:16 闭环人工一线市场格局与未来展望</w:t>
      </w:r>
    </w:p>
    <w:p>
      <w:r>
        <w:rPr>
          <w:rFonts w:ascii="等线(中文正文)" w:hAnsi="等线(中文正文)" w:cs="等线(中文正文)" w:eastAsia="等线(中文正文)"/>
          <w:b w:val="false"/>
          <w:i w:val="false"/>
          <w:sz w:val="20"/>
        </w:rPr>
        <w:t>对话深入探讨了闭环人工一线在国内外市场的现状与前景。海外尤其是欧美市场，闭环人工一线已成为主流，而国内市场尚处于起步阶段，但需求旺盛。预计产品上市后将显著促进个人及医院业务增长，联动CGM和泵的联合使用，推动产品生态体系发展。</w:t>
      </w:r>
    </w:p>
    <w:p>
      <w:r>
        <w:rPr>
          <w:rFonts w:ascii="等线(中文正文)" w:hAnsi="等线(中文正文)" w:cs="等线(中文正文)" w:eastAsia="等线(中文正文)"/>
          <w:b w:val="false"/>
          <w:i w:val="false"/>
          <w:sz w:val="20"/>
        </w:rPr>
        <w:t/>
      </w:r>
    </w:p>
    <w:p>
      <w:pPr>
        <w:pStyle w:val="ab"/>
        <w:numPr>
          <w:numId w:val="6"/>
        </w:numPr>
      </w:pPr>
      <w:r>
        <w:t>18:10 微泰医疗电商与AI技术布局</w:t>
      </w:r>
    </w:p>
    <w:p>
      <w:r>
        <w:rPr>
          <w:rFonts w:ascii="等线(中文正文)" w:hAnsi="等线(中文正文)" w:cs="等线(中文正文)" w:eastAsia="等线(中文正文)"/>
          <w:b w:val="false"/>
          <w:i w:val="false"/>
          <w:sz w:val="20"/>
        </w:rPr>
        <w:t>对话围绕微泰医疗的线上市场份额增长、电商市场竞争态势及AI技术布局展开。公司线上市场份额在Q2环比增长超30%，预计下半年市场份额将持续上升。AI方面，已建立初步模型并与健康管理公司合作，但商业化道路尚未明确。</w:t>
      </w:r>
    </w:p>
    <w:p>
      <w:r>
        <w:rPr>
          <w:rFonts w:ascii="等线(中文正文)" w:hAnsi="等线(中文正文)" w:cs="等线(中文正文)" w:eastAsia="等线(中文正文)"/>
          <w:b w:val="false"/>
          <w:i w:val="false"/>
          <w:sz w:val="20"/>
        </w:rPr>
        <w:t/>
      </w:r>
    </w:p>
    <w:p>
      <w:pPr>
        <w:pStyle w:val="ab"/>
        <w:numPr>
          <w:numId w:val="7"/>
        </w:numPr>
      </w:pPr>
      <w:r>
        <w:t>22:10 CGM海外市场增长策略与预期</w:t>
      </w:r>
    </w:p>
    <w:p>
      <w:r>
        <w:rPr>
          <w:rFonts w:ascii="等线(中文正文)" w:hAnsi="等线(中文正文)" w:cs="等线(中文正文)" w:eastAsia="等线(中文正文)"/>
          <w:b w:val="false"/>
          <w:i w:val="false"/>
          <w:sz w:val="20"/>
        </w:rPr>
        <w:t>对话围绕CGM（连续血糖监测）产品在海外市场的表现及未来增长预期展开。上半年，欧洲、亚太、拉美和中东地区的业务保持高增长，尤其在波兰、意大利、印度和巴西等市场表现突出。下半年，随着订单的逐步落实和新市场的准入，预计国际业务增速将超过上半年，增长势头将持续，尤其在亚太和中东地区。微泰国际市场份额低，美国市场暂未考虑，但二代分体式产品的推出和新市场准入将推动下半年增长加速，国际业务贡献将进一步提升。</w:t>
      </w:r>
    </w:p>
    <w:p>
      <w:r>
        <w:rPr>
          <w:rFonts w:ascii="等线(中文正文)" w:hAnsi="等线(中文正文)" w:cs="等线(中文正文)" w:eastAsia="等线(中文正文)"/>
          <w:b w:val="false"/>
          <w:i w:val="false"/>
          <w:sz w:val="20"/>
        </w:rPr>
        <w:t/>
      </w:r>
    </w:p>
    <w:p>
      <w:pPr>
        <w:pStyle w:val="ab"/>
        <w:numPr>
          <w:numId w:val="8"/>
        </w:numPr>
      </w:pPr>
      <w:r>
        <w:t>27:23 公司盈利情况与费用趋势展望</w:t>
      </w:r>
    </w:p>
    <w:p>
      <w:r>
        <w:rPr>
          <w:rFonts w:ascii="等线(中文正文)" w:hAnsi="等线(中文正文)" w:cs="等线(中文正文)" w:eastAsia="等线(中文正文)"/>
          <w:b w:val="false"/>
          <w:i w:val="false"/>
          <w:sz w:val="20"/>
        </w:rPr>
        <w:t>对话围绕公司上半年净利润大幅增长及未来费用趋势展开，讨论了汇率影响、销售费用率下降、研发费用增长以及毛利率稳中有升的预期，展示了公司对盈利提升的信心和战略规划。</w:t>
      </w:r>
    </w:p>
    <w:p>
      <w:r>
        <w:rPr>
          <w:rFonts w:ascii="等线(中文正文)" w:hAnsi="等线(中文正文)" w:cs="等线(中文正文)" w:eastAsia="等线(中文正文)"/>
          <w:b w:val="false"/>
          <w:i w:val="false"/>
          <w:sz w:val="20"/>
        </w:rPr>
        <w:t/>
      </w:r>
    </w:p>
    <w:p>
      <w:pPr>
        <w:pStyle w:val="ab"/>
        <w:numPr>
          <w:numId w:val="9"/>
        </w:numPr>
      </w:pPr>
      <w:r>
        <w:t>30:23 公司与药企战略合作及未来展望</w:t>
      </w:r>
    </w:p>
    <w:p>
      <w:r>
        <w:rPr>
          <w:rFonts w:ascii="等线(中文正文)" w:hAnsi="等线(中文正文)" w:cs="等线(中文正文)" w:eastAsia="等线(中文正文)"/>
          <w:b w:val="false"/>
          <w:i w:val="false"/>
          <w:sz w:val="20"/>
        </w:rPr>
        <w:t>公司与全球领先药企如诺和诺德开展合作，主要在患者教育服务及糖尿病规范治疗共建等方面协同。药械联用在新药拓展及临床后数据收集方面展现潜力，被视为未来重要获客渠道，多家药企对此表现出兴趣。公司将持续深化合作，关注并适时披露相关动态。</w:t>
      </w:r>
    </w:p>
    <w:p>
      <w:r>
        <w:rPr>
          <w:rFonts w:ascii="等线(中文正文)" w:hAnsi="等线(中文正文)" w:cs="等线(中文正文)" w:eastAsia="等线(中文正文)"/>
          <w:b w:val="false"/>
          <w:i w:val="false"/>
          <w:sz w:val="20"/>
        </w:rPr>
        <w:t/>
      </w:r>
    </w:p>
    <w:p>
      <w:pPr>
        <w:pStyle w:val="ab"/>
        <w:numPr>
          <w:numId w:val="10"/>
        </w:numPr>
      </w:pPr>
      <w:r>
        <w:t>33:25 新药产品商业化策略与市场推广计划讨论</w:t>
      </w:r>
    </w:p>
    <w:p>
      <w:r>
        <w:rPr>
          <w:rFonts w:ascii="等线(中文正文)" w:hAnsi="等线(中文正文)" w:cs="等线(中文正文)" w:eastAsia="等线(中文正文)"/>
          <w:b w:val="false"/>
          <w:i w:val="false"/>
          <w:sz w:val="20"/>
        </w:rPr>
        <w:t>对话围绕新药产品盈利能力、NXS1产品在海外市场的商业化规划及胰岛素泵二代产品的市场定位与推广策略展开。讨论了国内外盈利能力差异，海外市场的销售费用率较低，盈利能力更强；NXS1产品针对价格敏感的自费市场，计划在电商渠道布局；胰岛素泵二代产品定位为开环泵市场，预期提升市场份额，同时重点推进闭环泵的推广，以增强市场地位，为未来增长奠定基础。</w:t>
      </w:r>
    </w:p>
    <w:p>
      <w:r>
        <w:rPr>
          <w:rFonts w:ascii="等线(中文正文)" w:hAnsi="等线(中文正文)" w:cs="等线(中文正文)" w:eastAsia="等线(中文正文)"/>
          <w:b w:val="false"/>
          <w:i w:val="false"/>
          <w:sz w:val="20"/>
        </w:rPr>
        <w:t/>
      </w:r>
    </w:p>
    <w:p>
      <w:pPr>
        <w:pStyle w:val="ab"/>
        <w:numPr>
          <w:numId w:val="11"/>
        </w:numPr>
      </w:pPr>
      <w:r>
        <w:t>38:32 GGM用户数据与市场表现分析</w:t>
      </w:r>
    </w:p>
    <w:p>
      <w:r>
        <w:rPr>
          <w:rFonts w:ascii="等线(中文正文)" w:hAnsi="等线(中文正文)" w:cs="等线(中文正文)" w:eastAsia="等线(中文正文)"/>
          <w:b w:val="false"/>
          <w:i w:val="false"/>
          <w:sz w:val="20"/>
        </w:rPr>
        <w:t>提问者关注GGM销售情况，包括用户复购率、满意度及APP日活跃用户数。回答者分享了主要渠道复购率超30%，国内APP日活接近20万，且市场占有率高，用户口碑良好，强调技术积累与数据准确性领先。</w:t>
      </w:r>
    </w:p>
    <w:p>
      <w:r>
        <w:rPr>
          <w:rFonts w:ascii="等线(中文正文)" w:hAnsi="等线(中文正文)" w:cs="等线(中文正文)" w:eastAsia="等线(中文正文)"/>
          <w:b w:val="false"/>
          <w:i w:val="false"/>
          <w:sz w:val="20"/>
        </w:rPr>
        <w:t/>
      </w:r>
    </w:p>
    <w:p>
      <w:pPr>
        <w:pStyle w:val="ab"/>
        <w:numPr>
          <w:numId w:val="12"/>
        </w:numPr>
      </w:pPr>
      <w:r>
        <w:t>42:02 闭环人工一线商业化与定价策略解析</w:t>
      </w:r>
    </w:p>
    <w:p>
      <w:r>
        <w:rPr>
          <w:rFonts w:ascii="等线(中文正文)" w:hAnsi="等线(中文正文)" w:cs="等线(中文正文)" w:eastAsia="等线(中文正文)"/>
          <w:b w:val="false"/>
          <w:i w:val="false"/>
          <w:sz w:val="20"/>
        </w:rPr>
        <w:t>对话围绕闭环人工一线的商业化和定价策略展开，说明国内定价将高于现有胰岛素泵，国外定价受医保政策影响，与竞品使用费率差异不大，具体定价将根据医保政策决定，强调了与经销商的利润共享机制。</w:t>
      </w:r>
    </w:p>
    <w:p>
      <w:r>
        <w:rPr>
          <w:rFonts w:ascii="等线(中文正文)" w:hAnsi="等线(中文正文)" w:cs="等线(中文正文)" w:eastAsia="等线(中文正文)"/>
          <w:b w:val="false"/>
          <w:i w:val="false"/>
          <w:sz w:val="20"/>
        </w:rPr>
        <w:t/>
      </w:r>
    </w:p>
    <w:p>
      <w:pPr>
        <w:pStyle w:val="ab"/>
        <w:numPr>
          <w:numId w:val="13"/>
        </w:numPr>
      </w:pPr>
      <w:r>
        <w:t>44:15 应对专利挑战与现金流状况解析</w:t>
      </w:r>
    </w:p>
    <w:p>
      <w:r>
        <w:rPr>
          <w:rFonts w:ascii="等线(中文正文)" w:hAnsi="等线(中文正文)" w:cs="等线(中文正文)" w:eastAsia="等线(中文正文)"/>
          <w:b w:val="false"/>
          <w:i w:val="false"/>
          <w:sz w:val="20"/>
        </w:rPr>
        <w:t>对话围绕如何降低新产品进入欧洲市场的专利诉讼风险展开，讨论了通过积极研发和专利策略应对雅培专利封锁的策略。同时，提及公司上半年经营现金流接近6000万，以及UPC临时禁令对欧洲收入的影响，强调了公司正积极准备应诉和专利无效抗辩。</w:t>
      </w:r>
    </w:p>
    <w:p>
      <w:r>
        <w:rPr>
          <w:rFonts w:ascii="等线(中文正文)" w:hAnsi="等线(中文正文)" w:cs="等线(中文正文)" w:eastAsia="等线(中文正文)"/>
          <w:b w:val="false"/>
          <w:i w:val="false"/>
          <w:sz w:val="20"/>
        </w:rPr>
        <w:t/>
      </w:r>
    </w:p>
    <w:p>
      <w:pPr>
        <w:pStyle w:val="ab"/>
        <w:numPr>
          <w:numId w:val="14"/>
        </w:numPr>
      </w:pPr>
      <w:r>
        <w:t>51:19 公司管理费用率解析与医院市场表现讨论</w:t>
      </w:r>
    </w:p>
    <w:p>
      <w:r>
        <w:rPr>
          <w:rFonts w:ascii="等线(中文正文)" w:hAnsi="等线(中文正文)" w:cs="等线(中文正文)" w:eastAsia="等线(中文正文)"/>
          <w:b w:val="false"/>
          <w:i w:val="false"/>
          <w:sz w:val="20"/>
        </w:rPr>
        <w:t>对话围绕公司上半年管理费用率增长原因及未来趋势展开，指出增长主要源于一次性诉讼等费用，未来有望降至5%-6%。同时，讨论了公司在医院市场的销售排名、份额及增长情况，强调医院进院和上量数据表现优异，尤其在检查系统和CGM产品方面取得显著进展，未来将适时分享更详细的运营信息。</w:t>
      </w:r>
    </w:p>
    <w:p>
      <w:r>
        <w:rPr>
          <w:rFonts w:ascii="等线(中文正文)" w:hAnsi="等线(中文正文)" w:cs="等线(中文正文)" w:eastAsia="等线(中文正文)"/>
          <w:b w:val="false"/>
          <w:i w:val="false"/>
          <w:sz w:val="20"/>
        </w:rPr>
        <w:t/>
      </w:r>
    </w:p>
    <w:p>
      <w:pPr>
        <w:pStyle w:val="ab"/>
        <w:numPr>
          <w:numId w:val="15"/>
        </w:numPr>
      </w:pPr>
      <w:r>
        <w:t>55:30 微泰医疗业绩展望与新产品布局</w:t>
      </w:r>
    </w:p>
    <w:p>
      <w:r>
        <w:rPr>
          <w:rFonts w:ascii="等线(中文正文)" w:hAnsi="等线(中文正文)" w:cs="等线(中文正文)" w:eastAsia="等线(中文正文)"/>
          <w:b w:val="false"/>
          <w:i w:val="false"/>
          <w:sz w:val="20"/>
        </w:rPr>
        <w:t>会议回顾了微泰医疗上半年的优异表现，强调了其在糖尿病监测治疗领域的领导者地位。展望下半年，公司预计动态血糖监测和泵业务将持续高速增长，全年业绩将超出年初预期。此外，公司在新产品研发、AI严肃应用方面取得显著进展，与头部医院及科研机构合作深化，部分模型已进入内测阶段。会议强调了投资决策需自行承担风险，并对会议内容的保密性提出严格要求。</w:t>
      </w:r>
    </w:p>
    <w:p>
      <w:r>
        <w:rPr>
          <w:rFonts w:ascii="等线(中文正文)" w:hAnsi="等线(中文正文)" w:cs="等线(中文正文)" w:eastAsia="等线(中文正文)"/>
          <w:b w:val="false"/>
          <w:i w:val="false"/>
          <w:sz w:val="20"/>
        </w:rPr>
        <w:t/>
      </w:r>
    </w:p>
    <w:p>
      <w:pPr>
        <w:pStyle w:val="a7"/>
      </w:pPr>
      <w:r>
        <w:t>发言总结</w:t>
      </w:r>
    </w:p>
    <w:p>
      <w:pPr>
        <w:pStyle w:val="ab"/>
        <w:numPr>
          <w:numId w:val="16"/>
        </w:numPr>
      </w:pPr>
      <w:r>
        <w:t>发言人1</w:t>
      </w:r>
    </w:p>
    <w:p>
      <w:r>
        <w:rPr>
          <w:rFonts w:ascii="等线(中文正文)" w:hAnsi="等线(中文正文)" w:cs="等线(中文正文)" w:eastAsia="等线(中文正文)"/>
          <w:b w:val="false"/>
          <w:i w:val="false"/>
          <w:sz w:val="20"/>
        </w:rPr>
        <w:t>首先回顾了公司上半年在渠道拓展和线上会员规模增长方面取得的显著成绩，特别是在血糖仪销售领域展现出的领先地位。此外，他还提到了公司在国际市场上的收入增长，特别强调了CGM全球市场巨大的规模和未来发展潜力。对于下半年及全年，他乐观预计业绩将持续增长，强调新产品与技术创新将为公司稳固行业领先地位提供强大支持。同时，他强调了公司对AI技术的高度重视与未来布局，以及与国内外合作伙伴建立的紧密合作关系，展现了公司积极寻求技术进步和市场扩张的决心。</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问：关于上半年CDM收入的国内外分布及其同比增速是怎样的？另外，上半年业绩超预期后，对于全年指引有何更新？</w:t>
      </w:r>
    </w:p>
    <w:p>
      <w:r>
        <w:rPr>
          <w:rFonts w:ascii="等线(中文正文)" w:hAnsi="等线(中文正文)" w:cs="等线(中文正文)" w:eastAsia="等线(中文正文)"/>
          <w:b w:val="false"/>
          <w:i w:val="false"/>
          <w:sz w:val="20"/>
        </w:rPr>
        <w:t>发言人1 答：上半年国内CDM同比增长超过150%，海外也实现了很高的增长，但受部分大客户订单延迟发货的影响。预计下半年同比增速会明显更高，整体支撑今年CGM不低于50%的增长目标，实际数据有望超过年初设定的目标。基于上半年超越预期的表现，考虑到去年上半年的高基数，公司调整了收入指数预期，预计全年收入增长率将至少不低于40%，净利润增长则预计会高于收入增长，预计不低于100%的增长。</w:t>
      </w:r>
    </w:p>
    <w:p>
      <w:r>
        <w:rPr>
          <w:rFonts w:ascii="等线(中文正文)" w:hAnsi="等线(中文正文)" w:cs="等线(中文正文)" w:eastAsia="等线(中文正文)"/>
          <w:b w:val="false"/>
          <w:i w:val="false"/>
          <w:sz w:val="20"/>
        </w:rPr>
        <w:t/>
      </w:r>
    </w:p>
    <w:p>
      <w:pPr>
        <w:pStyle w:val="ab"/>
      </w:pPr>
      <w:r>
        <w:t>发言人1 问：上半年CGM板块毛利率实现了良好提升，能否分享一下今年及未来对毛利率的预期？另外，公司在未来研发领域将聚焦哪些方面？</w:t>
      </w:r>
    </w:p>
    <w:p>
      <w:r>
        <w:rPr>
          <w:rFonts w:ascii="等线(中文正文)" w:hAnsi="等线(中文正文)" w:cs="等线(中文正文)" w:eastAsia="等线(中文正文)"/>
          <w:b w:val="false"/>
          <w:i w:val="false"/>
          <w:sz w:val="20"/>
        </w:rPr>
        <w:t>发言人1 答：今年上半年毛利率增长6个百分点，表现不错。未来毛利率是否提升将取决于市场竞争情况，目前预测下半年毛利率还会进一步提升。关于新产品运营方向，公司分为三个重点：一是CGM技术平台能否扩展至多参数，即CGM是否能变成CXM，公司已在血瞳、乳酸等方面取得进展，但新产品推出日期还需根据市场需求进一步评估；二是泵方面，国内市场有较大潜力，国外对闭环泵期待较高且有特定需求，因此公司正积极推进二代泵的申报工作，并同步布局下一代泵的研发，目前进展顺利。</w:t>
      </w:r>
    </w:p>
    <w:p>
      <w:r>
        <w:rPr>
          <w:rFonts w:ascii="等线(中文正文)" w:hAnsi="等线(中文正文)" w:cs="等线(中文正文)" w:eastAsia="等线(中文正文)"/>
          <w:b w:val="false"/>
          <w:i w:val="false"/>
          <w:sz w:val="20"/>
        </w:rPr>
        <w:t/>
      </w:r>
    </w:p>
    <w:p>
      <w:pPr>
        <w:pStyle w:val="ab"/>
      </w:pPr>
      <w:r>
        <w:t>发言人1 问：我们怎么看待下半年乃至未来国内CGM市场的竞争格局？面对新的进入者，我们有哪些策略来发挥现有客群优势和闭环产品优势？</w:t>
      </w:r>
    </w:p>
    <w:p>
      <w:r>
        <w:rPr>
          <w:rFonts w:ascii="等线(中文正文)" w:hAnsi="等线(中文正文)" w:cs="等线(中文正文)" w:eastAsia="等线(中文正文)"/>
          <w:b w:val="false"/>
          <w:i w:val="false"/>
          <w:sz w:val="20"/>
        </w:rPr>
        <w:t>发言人1 答：目前市场上看到多家上市公司获批CGM产品，这表明市场潜力大且竞争加剧。但值得注意的是，市场现在比拼的是产品质量、毛利控制以及量产能力，而非单纯的产品证书。已有获批的产品尚未全部实现上市，这显示出实际量产门槛较高，对我们先发者形成了一定优势。因此，我们更关注提升产品质量、丰富产品线和降低生产成本，而非过分关注哪家公司可能拿到哪些证书。预计后续竞争格局将集中于45个品牌之间，新进入者需要看他们是否将此作为主线和生命线，并关注其决心大小。</w:t>
      </w:r>
    </w:p>
    <w:p>
      <w:r>
        <w:rPr>
          <w:rFonts w:ascii="等线(中文正文)" w:hAnsi="等线(中文正文)" w:cs="等线(中文正文)" w:eastAsia="等线(中文正文)"/>
          <w:b w:val="false"/>
          <w:i w:val="false"/>
          <w:sz w:val="20"/>
        </w:rPr>
        <w:t/>
      </w:r>
    </w:p>
    <w:p>
      <w:pPr>
        <w:pStyle w:val="ab"/>
      </w:pPr>
      <w:r>
        <w:t>发言人1 问：能否进一步分析闭环人工一线国内外市场的整体市场格局以及今年上市后的展望？</w:t>
      </w:r>
    </w:p>
    <w:p>
      <w:r>
        <w:rPr>
          <w:rFonts w:ascii="等线(中文正文)" w:hAnsi="等线(中文正文)" w:cs="等线(中文正文)" w:eastAsia="等线(中文正文)"/>
          <w:b w:val="false"/>
          <w:i w:val="false"/>
          <w:sz w:val="20"/>
        </w:rPr>
        <w:t>发言人1 答：国内外闭环人工一线市场格局差异显著。海外发达市场，尤其是欧美地区，闭环人工一线产品已是主流，新病人首选率高达90%以上，市场份额接近3分之1到一半以上，主要由美敦力780G等主导。而国内目前尚未有真正商业化上市的国产闭环人工一线产品，微泰的670G曾获批但未实现规模推广。国内用户对闭环产品需求大，顶级医院专家及患者都表现出强烈需求。我们对国内闭环人工一线市场的前景非常乐观，预计产品上市后将对个人泵业务和医院整体泵业务带来明显增长。</w:t>
      </w:r>
    </w:p>
    <w:p>
      <w:r>
        <w:rPr>
          <w:rFonts w:ascii="等线(中文正文)" w:hAnsi="等线(中文正文)" w:cs="等线(中文正文)" w:eastAsia="等线(中文正文)"/>
          <w:b w:val="false"/>
          <w:i w:val="false"/>
          <w:sz w:val="20"/>
        </w:rPr>
        <w:t/>
      </w:r>
    </w:p>
    <w:p>
      <w:pPr>
        <w:pStyle w:val="ab"/>
      </w:pPr>
      <w:r>
        <w:t>发言人1 问：在电商领域，公司市场份额的增长情况如何？</w:t>
      </w:r>
    </w:p>
    <w:p>
      <w:r>
        <w:rPr>
          <w:rFonts w:ascii="等线(中文正文)" w:hAnsi="等线(中文正文)" w:cs="等线(中文正文)" w:eastAsia="等线(中文正文)"/>
          <w:b w:val="false"/>
          <w:i w:val="false"/>
          <w:sz w:val="20"/>
        </w:rPr>
        <w:t>发言人1 答：在电商领域，公司在h one平台上的市场份额约为20%，并且在Q2季度相比于Q1实现了超过30%的环比增长，这表明公司在电商渠道的产品增长在加速，是一个积极的信号。</w:t>
      </w:r>
    </w:p>
    <w:p>
      <w:r>
        <w:rPr>
          <w:rFonts w:ascii="等线(中文正文)" w:hAnsi="等线(中文正文)" w:cs="等线(中文正文)" w:eastAsia="等线(中文正文)"/>
          <w:b w:val="false"/>
          <w:i w:val="false"/>
          <w:sz w:val="20"/>
        </w:rPr>
        <w:t/>
      </w:r>
    </w:p>
    <w:p>
      <w:pPr>
        <w:pStyle w:val="ab"/>
      </w:pPr>
      <w:r>
        <w:t>发言人1 问：对于电商市场的后续竞争态势有何预测？</w:t>
      </w:r>
    </w:p>
    <w:p>
      <w:r>
        <w:rPr>
          <w:rFonts w:ascii="等线(中文正文)" w:hAnsi="等线(中文正文)" w:cs="等线(中文正文)" w:eastAsia="等线(中文正文)"/>
          <w:b w:val="false"/>
          <w:i w:val="false"/>
          <w:sz w:val="20"/>
        </w:rPr>
        <w:t>发言人1 答：预计下半年电商市场（如双十一期间）的竞争格局将维持上半年618期间的竞争态势，同时有信心预测微泰医疗的市场份额会进一步上升。</w:t>
      </w:r>
    </w:p>
    <w:p>
      <w:r>
        <w:rPr>
          <w:rFonts w:ascii="等线(中文正文)" w:hAnsi="等线(中文正文)" w:cs="等线(中文正文)" w:eastAsia="等线(中文正文)"/>
          <w:b w:val="false"/>
          <w:i w:val="false"/>
          <w:sz w:val="20"/>
        </w:rPr>
        <w:t/>
      </w:r>
    </w:p>
    <w:p>
      <w:pPr>
        <w:pStyle w:val="ab"/>
      </w:pPr>
      <w:r>
        <w:t>发言人1 问：AI技术在血糖管理方面的应用进展如何？</w:t>
      </w:r>
    </w:p>
    <w:p>
      <w:r>
        <w:rPr>
          <w:rFonts w:ascii="等线(中文正文)" w:hAnsi="等线(中文正文)" w:cs="等线(中文正文)" w:eastAsia="等线(中文正文)"/>
          <w:b w:val="false"/>
          <w:i w:val="false"/>
          <w:sz w:val="20"/>
        </w:rPr>
        <w:t>发言人1 答：公司已经建立了能够从血糖变化曲线中解读出疾病判断和并发症预测的AI模型，并与国内顶尖健康管理公司开展了初步合作。目前在训练数据方面做了深入研究，但尚未决定何时将其转化为可应用的产品，主要考虑严肃用途验证、法规批准以及商业化价值等问题。</w:t>
      </w:r>
    </w:p>
    <w:p>
      <w:r>
        <w:rPr>
          <w:rFonts w:ascii="等线(中文正文)" w:hAnsi="等线(中文正文)" w:cs="等线(中文正文)" w:eastAsia="等线(中文正文)"/>
          <w:b w:val="false"/>
          <w:i w:val="false"/>
          <w:sz w:val="20"/>
        </w:rPr>
        <w:t/>
      </w:r>
    </w:p>
    <w:p>
      <w:pPr>
        <w:pStyle w:val="ab"/>
      </w:pPr>
      <w:r>
        <w:t>发言人1 问：CGM产品在海外市场的表现及未来展望是怎样的？</w:t>
      </w:r>
    </w:p>
    <w:p>
      <w:r>
        <w:rPr>
          <w:rFonts w:ascii="等线(中文正文)" w:hAnsi="等线(中文正文)" w:cs="等线(中文正文)" w:eastAsia="等线(中文正文)"/>
          <w:b w:val="false"/>
          <w:i w:val="false"/>
          <w:sz w:val="20"/>
        </w:rPr>
        <w:t>发言人1 答：上半年，CGM产品的海外业务维持了较高增速，形成了欧洲、亚太、拉美、中东四位一体的出海体系。其中，欧洲区特别是东欧国家，以及亚太区如印度和韩国等地呈现持续增长态势。下半年预计订单会加速落地，尤其是在手头较多的订单情况下，国际业务有望呈现前低后高的趋势，并且随着国际市场份额较低及新产品的推出（如二代分体式产品），海外增长持续性较强，对下半年的国际贡献提升持乐观态度。</w:t>
      </w:r>
    </w:p>
    <w:p>
      <w:r>
        <w:rPr>
          <w:rFonts w:ascii="等线(中文正文)" w:hAnsi="等线(中文正文)" w:cs="等线(中文正文)" w:eastAsia="等线(中文正文)"/>
          <w:b w:val="false"/>
          <w:i w:val="false"/>
          <w:sz w:val="20"/>
        </w:rPr>
        <w:t/>
      </w:r>
    </w:p>
    <w:p>
      <w:pPr>
        <w:pStyle w:val="ab"/>
      </w:pPr>
      <w:r>
        <w:t>发言人1 问：公司如何看待未来费用端的趋势以及产品进展？</w:t>
      </w:r>
    </w:p>
    <w:p>
      <w:r>
        <w:rPr>
          <w:rFonts w:ascii="等线(中文正文)" w:hAnsi="等线(中文正文)" w:cs="等线(中文正文)" w:eastAsia="等线(中文正文)"/>
          <w:b w:val="false"/>
          <w:i w:val="false"/>
          <w:sz w:val="20"/>
        </w:rPr>
        <w:t>发言人1 答：公司暂未提供具体未来的费用端趋势展望和净利率增长趋势预测，但表示会关注费用控制和生产效率提升。同时，也未更新关于产品进展的具体情况。</w:t>
      </w:r>
    </w:p>
    <w:p>
      <w:r>
        <w:rPr>
          <w:rFonts w:ascii="等线(中文正文)" w:hAnsi="等线(中文正文)" w:cs="等线(中文正文)" w:eastAsia="等线(中文正文)"/>
          <w:b w:val="false"/>
          <w:i w:val="false"/>
          <w:sz w:val="20"/>
        </w:rPr>
        <w:t/>
      </w:r>
    </w:p>
    <w:p>
      <w:pPr>
        <w:pStyle w:val="ab"/>
      </w:pPr>
      <w:r>
        <w:t>发言人1 问：施总是否掌握了详细数据，关于费用率和研发投入的策略？</w:t>
      </w:r>
    </w:p>
    <w:p>
      <w:r>
        <w:rPr>
          <w:rFonts w:ascii="等线(中文正文)" w:hAnsi="等线(中文正文)" w:cs="等线(中文正文)" w:eastAsia="等线(中文正文)"/>
          <w:b w:val="false"/>
          <w:i w:val="false"/>
          <w:sz w:val="20"/>
        </w:rPr>
        <w:t>发言人1 答：是的，施总提到下半年由于基数增加，费用率可能会持续稳定下降，但同时计划在下半年策略性地加大研发部门的投入，即使在总费用比下降的情况下，研发的绝对投入仍会保持较高增长。</w:t>
      </w:r>
    </w:p>
    <w:p>
      <w:r>
        <w:rPr>
          <w:rFonts w:ascii="等线(中文正文)" w:hAnsi="等线(中文正文)" w:cs="等线(中文正文)" w:eastAsia="等线(中文正文)"/>
          <w:b w:val="false"/>
          <w:i w:val="false"/>
          <w:sz w:val="20"/>
        </w:rPr>
        <w:t/>
      </w:r>
    </w:p>
    <w:p>
      <w:pPr>
        <w:pStyle w:val="ab"/>
      </w:pPr>
      <w:r>
        <w:t>发言人1 问：汇率对公司净利润率和毛利率的影响如何？</w:t>
      </w:r>
    </w:p>
    <w:p>
      <w:r>
        <w:rPr>
          <w:rFonts w:ascii="等线(中文正文)" w:hAnsi="等线(中文正文)" w:cs="等线(中文正文)" w:eastAsia="等线(中文正文)"/>
          <w:b w:val="false"/>
          <w:i w:val="false"/>
          <w:sz w:val="20"/>
        </w:rPr>
        <w:t>发言人1 答：上半年由于出口较大，产生了约三千多万的汇兑损失，若扣除这一影响，净利润率将明显提升，毛利率会稳中有升。整体费用情况正在好转。</w:t>
      </w:r>
    </w:p>
    <w:p>
      <w:r>
        <w:rPr>
          <w:rFonts w:ascii="等线(中文正文)" w:hAnsi="等线(中文正文)" w:cs="等线(中文正文)" w:eastAsia="等线(中文正文)"/>
          <w:b w:val="false"/>
          <w:i w:val="false"/>
          <w:sz w:val="20"/>
        </w:rPr>
        <w:t/>
      </w:r>
    </w:p>
    <w:p>
      <w:pPr>
        <w:pStyle w:val="ab"/>
      </w:pPr>
      <w:r>
        <w:t>发言人1 问：销售费用率增长的主要驱动因素是什么？</w:t>
      </w:r>
    </w:p>
    <w:p>
      <w:r>
        <w:rPr>
          <w:rFonts w:ascii="等线(中文正文)" w:hAnsi="等线(中文正文)" w:cs="等线(中文正文)" w:eastAsia="等线(中文正文)"/>
          <w:b w:val="false"/>
          <w:i w:val="false"/>
          <w:sz w:val="20"/>
        </w:rPr>
        <w:t>发言人1 答：销售费用率增长的主要杠杆来自于国际业务尤其是GGM的放量以及降本措施的效果，随着规模效应的铺开，销售费用率已经从去年同期的接近38%降至28%，未来虽不会有如此大的降幅，但仍有望继续下降。</w:t>
      </w:r>
    </w:p>
    <w:p>
      <w:r>
        <w:rPr>
          <w:rFonts w:ascii="等线(中文正文)" w:hAnsi="等线(中文正文)" w:cs="等线(中文正文)" w:eastAsia="等线(中文正文)"/>
          <w:b w:val="false"/>
          <w:i w:val="false"/>
          <w:sz w:val="20"/>
        </w:rPr>
        <w:t/>
      </w:r>
    </w:p>
    <w:p>
      <w:pPr>
        <w:pStyle w:val="ab"/>
      </w:pPr>
      <w:r>
        <w:t>发言人1 问：公司与全球领先生物制药企业如诺和诺德的合作模式及药械协同对未来CDM获客渠道有何展望？</w:t>
      </w:r>
    </w:p>
    <w:p>
      <w:r>
        <w:rPr>
          <w:rFonts w:ascii="等线(中文正文)" w:hAnsi="等线(中文正文)" w:cs="等线(中文正文)" w:eastAsia="等线(中文正文)"/>
          <w:b w:val="false"/>
          <w:i w:val="false"/>
          <w:sz w:val="20"/>
        </w:rPr>
        <w:t>发言人1 答：公司已与诺和诺德等大型药企开展多方面的战略合作，目前主要集中在患者教育服务场景和糖尿病规范治疗共建等方面。这种合作模式有助于双方拓宽获客渠道，尽管目前效率较高但整体比例较低。公司正与多家药企探讨共建工作，以期进一步提升获客效率。</w:t>
      </w:r>
    </w:p>
    <w:p>
      <w:r>
        <w:rPr>
          <w:rFonts w:ascii="等线(中文正文)" w:hAnsi="等线(中文正文)" w:cs="等线(中文正文)" w:eastAsia="等线(中文正文)"/>
          <w:b w:val="false"/>
          <w:i w:val="false"/>
          <w:sz w:val="20"/>
        </w:rPr>
        <w:t/>
      </w:r>
    </w:p>
    <w:p>
      <w:pPr>
        <w:pStyle w:val="ab"/>
      </w:pPr>
      <w:r>
        <w:t>发言人1 问：国内与海外盈利能力拆分以及欧洲NXS1产品商业化规划及销售预期？</w:t>
      </w:r>
    </w:p>
    <w:p>
      <w:r>
        <w:rPr>
          <w:rFonts w:ascii="等线(中文正文)" w:hAnsi="等线(中文正文)" w:cs="等线(中文正文)" w:eastAsia="等线(中文正文)"/>
          <w:b w:val="false"/>
          <w:i w:val="false"/>
          <w:sz w:val="20"/>
        </w:rPr>
        <w:t>发言人1 答：目前海外盈利能力优于国内，主要因为海外的销售费用率明显低于国内。在国内医院和电商渠道上，销售人员费用较高，导致在毛利率相近的情况下，海外盈利能力更强。对于NXS1产品，其目标是通过差异化补充，降低使用费用，主要针对国外价格敏感的自费市场进行布局，目前尚未计划在发达国家推出。</w:t>
      </w:r>
    </w:p>
    <w:p>
      <w:r>
        <w:rPr>
          <w:rFonts w:ascii="等线(中文正文)" w:hAnsi="等线(中文正文)" w:cs="等线(中文正文)" w:eastAsia="等线(中文正文)"/>
          <w:b w:val="false"/>
          <w:i w:val="false"/>
          <w:sz w:val="20"/>
        </w:rPr>
        <w:t/>
      </w:r>
    </w:p>
    <w:p>
      <w:pPr>
        <w:pStyle w:val="ab"/>
      </w:pPr>
      <w:r>
        <w:t>发言人1 问：关于第二代天赋式胰岛素泵的推广计划、市场定位及后续销售预期？</w:t>
      </w:r>
    </w:p>
    <w:p>
      <w:r>
        <w:rPr>
          <w:rFonts w:ascii="等线(中文正文)" w:hAnsi="等线(中文正文)" w:cs="等线(中文正文)" w:eastAsia="等线(中文正文)"/>
          <w:b w:val="false"/>
          <w:i w:val="false"/>
          <w:sz w:val="20"/>
        </w:rPr>
        <w:t>发言人1 答：第二代天赋式胰岛素泵已上市，主打升级迭代的产品优势，如更大的储料器容量和更好的防水性能，主要针对原内市场推广。该产品定位接近第一代但略高一些，预计会在开环泵和苑蚌市场中逐步提升市场份额。具体的销售预期将在后期业绩公告中分享，并将在适当时候召开会议对外披露进展。</w:t>
      </w:r>
    </w:p>
    <w:p>
      <w:r>
        <w:rPr>
          <w:rFonts w:ascii="等线(中文正文)" w:hAnsi="等线(中文正文)" w:cs="等线(中文正文)" w:eastAsia="等线(中文正文)"/>
          <w:b w:val="false"/>
          <w:i w:val="false"/>
          <w:sz w:val="20"/>
        </w:rPr>
        <w:t/>
      </w:r>
    </w:p>
    <w:p>
      <w:pPr>
        <w:pStyle w:val="ab"/>
      </w:pPr>
      <w:r>
        <w:t>发言人1 问：那么从用户满意度来看，您能否分享一下我们的市占率以及市场口碑表现？</w:t>
      </w:r>
    </w:p>
    <w:p>
      <w:r>
        <w:rPr>
          <w:rFonts w:ascii="等线(中文正文)" w:hAnsi="等线(中文正文)" w:cs="等线(中文正文)" w:eastAsia="等线(中文正文)"/>
          <w:b w:val="false"/>
          <w:i w:val="false"/>
          <w:sz w:val="20"/>
        </w:rPr>
        <w:t>发言人1 答：市占率方面，Q1和Q2环比增长非常快，且未大幅降价情况下用户规模迅速扩大，市场口碑首屈一指。准确率方面，自2011年公司专注于糖尿病监测和治疗领域以来，通过技术积累和对数据准确性的严格把控，我们认为公司在该领域处于领先地位。</w:t>
      </w:r>
    </w:p>
    <w:p>
      <w:r>
        <w:rPr>
          <w:rFonts w:ascii="等线(中文正文)" w:hAnsi="等线(中文正文)" w:cs="等线(中文正文)" w:eastAsia="等线(中文正文)"/>
          <w:b w:val="false"/>
          <w:i w:val="false"/>
          <w:sz w:val="20"/>
        </w:rPr>
        <w:t/>
      </w:r>
    </w:p>
    <w:p>
      <w:pPr>
        <w:pStyle w:val="ab"/>
      </w:pPr>
      <w:r>
        <w:t>发言人1 问：接下来我想了解一下闭环人工一线的商业化和定价策略是怎样的？</w:t>
      </w:r>
    </w:p>
    <w:p>
      <w:r>
        <w:rPr>
          <w:rFonts w:ascii="等线(中文正文)" w:hAnsi="等线(中文正文)" w:cs="等线(中文正文)" w:eastAsia="等线(中文正文)"/>
          <w:b w:val="false"/>
          <w:i w:val="false"/>
          <w:sz w:val="20"/>
        </w:rPr>
        <w:t>发言人1 答：在国内，闭环人工一线的定价会高于目前的胰岛素泵开盘价。国外，进入医保的价格基本确定，更多与经销商合作推进利润共享，终端价格稳定，使用费率与其他竞品相比无太大区别，但最终定价权在于医保政策。具体定价将在推向市场时公布。</w:t>
      </w:r>
    </w:p>
    <w:p>
      <w:r>
        <w:rPr>
          <w:rFonts w:ascii="等线(中文正文)" w:hAnsi="等线(中文正文)" w:cs="等线(中文正文)" w:eastAsia="等线(中文正文)"/>
          <w:b w:val="false"/>
          <w:i w:val="false"/>
          <w:sz w:val="20"/>
        </w:rPr>
        <w:t/>
      </w:r>
    </w:p>
    <w:p>
      <w:pPr>
        <w:pStyle w:val="ab"/>
      </w:pPr>
      <w:r>
        <w:t>发言人1 问：公司如何降低新产品进入欧洲前的潜在专利诉讼风险？以及在CGM核心传感器信号处理算法结构设计等关键技术领域，何时能形成有效限制竞争的核心专利？</w:t>
      </w:r>
    </w:p>
    <w:p>
      <w:r>
        <w:rPr>
          <w:rFonts w:ascii="等线(中文正文)" w:hAnsi="等线(中文正文)" w:cs="等线(中文正文)" w:eastAsia="等线(中文正文)"/>
          <w:b w:val="false"/>
          <w:i w:val="false"/>
          <w:sz w:val="20"/>
        </w:rPr>
        <w:t>发言人1 答：在欧洲，我们已重新上线新产品，并沉着应对知识产权问题。针对雅培的专利防守，采取积极策略反驳诉讼，认为新产品的特点可避开主要专利壁垒，同时针对部分专利保护范围过大的问题进行挑战。</w:t>
      </w:r>
    </w:p>
    <w:p>
      <w:r>
        <w:rPr>
          <w:rFonts w:ascii="等线(中文正文)" w:hAnsi="等线(中文正文)" w:cs="等线(中文正文)" w:eastAsia="等线(中文正文)"/>
          <w:b w:val="false"/>
          <w:i w:val="false"/>
          <w:sz w:val="20"/>
        </w:rPr>
        <w:t/>
      </w:r>
    </w:p>
    <w:p>
      <w:pPr>
        <w:pStyle w:val="ab"/>
      </w:pPr>
      <w:r>
        <w:t>发言人1 问：在面对海外成人礼的挑战时，公司会如何应对？公司目前的经营现金流情况如何？</w:t>
      </w:r>
    </w:p>
    <w:p>
      <w:r>
        <w:rPr>
          <w:rFonts w:ascii="等线(中文正文)" w:hAnsi="等线(中文正文)" w:cs="等线(中文正文)" w:eastAsia="等线(中文正文)"/>
          <w:b w:val="false"/>
          <w:i w:val="false"/>
          <w:sz w:val="20"/>
        </w:rPr>
        <w:t>发言人1 答：我们会以积极心态去应对，并基于自身研发基础进行改变和应诉反驳。在技术方面，我们对自身拥有的一些具有特点的IP动作充满信心，并已做好了相应的准备。根据我们的计算，整体来看，公司的经营现金流接近6000万，高于净利润数字，这主要考虑了汇率损失和其他非现金因素。</w:t>
      </w:r>
    </w:p>
    <w:p>
      <w:r>
        <w:rPr>
          <w:rFonts w:ascii="等线(中文正文)" w:hAnsi="等线(中文正文)" w:cs="等线(中文正文)" w:eastAsia="等线(中文正文)"/>
          <w:b w:val="false"/>
          <w:i w:val="false"/>
          <w:sz w:val="20"/>
        </w:rPr>
        <w:t/>
      </w:r>
    </w:p>
    <w:p>
      <w:pPr>
        <w:pStyle w:val="ab"/>
      </w:pPr>
      <w:r>
        <w:t>发言人1 问：关于FTO（即欧洲UPC禁令）的情况是怎样的？</w:t>
      </w:r>
    </w:p>
    <w:p>
      <w:r>
        <w:rPr>
          <w:rFonts w:ascii="等线(中文正文)" w:hAnsi="等线(中文正文)" w:cs="等线(中文正文)" w:eastAsia="等线(中文正文)"/>
          <w:b w:val="false"/>
          <w:i w:val="false"/>
          <w:sz w:val="20"/>
        </w:rPr>
        <w:t>发言人1 答：UPC禁令是临时性的，我们正在准备后续的应诉和对核心专利（如072专利）的无效抗辩，在EPO和UPC中都有相应准备和抗辩正在进行中。</w:t>
      </w:r>
    </w:p>
    <w:p>
      <w:r>
        <w:rPr>
          <w:rFonts w:ascii="等线(中文正文)" w:hAnsi="等线(中文正文)" w:cs="等线(中文正文)" w:eastAsia="等线(中文正文)"/>
          <w:b w:val="false"/>
          <w:i w:val="false"/>
          <w:sz w:val="20"/>
        </w:rPr>
        <w:t/>
      </w:r>
    </w:p>
    <w:p>
      <w:pPr>
        <w:pStyle w:val="ab"/>
      </w:pPr>
      <w:r>
        <w:t>发言人1 问：雅培采取商业策略及公司在UPC法庭判决中的态度是什么？</w:t>
      </w:r>
    </w:p>
    <w:p>
      <w:r>
        <w:rPr>
          <w:rFonts w:ascii="等线(中文正文)" w:hAnsi="等线(中文正文)" w:cs="等线(中文正文)" w:eastAsia="等线(中文正文)"/>
          <w:b w:val="false"/>
          <w:i w:val="false"/>
          <w:sz w:val="20"/>
        </w:rPr>
        <w:t>发言人1 答：雅培的做法是其商业策略，而在欧洲UPC体系下，更倾向于专利权人的首发专利权，我们并不依赖于UPC法庭判决，而是通过未来的研发和专利规划做更多细致工作，依靠产品突破专利封锁来应对挑战。</w:t>
      </w:r>
    </w:p>
    <w:p>
      <w:r>
        <w:rPr>
          <w:rFonts w:ascii="等线(中文正文)" w:hAnsi="等线(中文正文)" w:cs="等线(中文正文)" w:eastAsia="等线(中文正文)"/>
          <w:b w:val="false"/>
          <w:i w:val="false"/>
          <w:sz w:val="20"/>
        </w:rPr>
        <w:t/>
      </w:r>
    </w:p>
    <w:p>
      <w:pPr>
        <w:pStyle w:val="ab"/>
      </w:pPr>
      <w:r>
        <w:t>发言人1 问：上半年管理费用率同比增长68%的原因以及未来趋势？</w:t>
      </w:r>
    </w:p>
    <w:p>
      <w:r>
        <w:rPr>
          <w:rFonts w:ascii="等线(中文正文)" w:hAnsi="等线(中文正文)" w:cs="等线(中文正文)" w:eastAsia="等线(中文正文)"/>
          <w:b w:val="false"/>
          <w:i w:val="false"/>
          <w:sz w:val="20"/>
        </w:rPr>
        <w:t>发言人1 答：管理费用率增长主要是由于一次性费用增加，包括诉讼费用和其他管理费用。未来，管理费用率预计会逐步降低至正常水平5%至6%，随着收入增长，管理费率有望进一步下降。</w:t>
      </w:r>
    </w:p>
    <w:p>
      <w:r>
        <w:rPr>
          <w:rFonts w:ascii="等线(中文正文)" w:hAnsi="等线(中文正文)" w:cs="等线(中文正文)" w:eastAsia="等线(中文正文)"/>
          <w:b w:val="false"/>
          <w:i w:val="false"/>
          <w:sz w:val="20"/>
        </w:rPr>
        <w:t/>
      </w:r>
    </w:p>
    <w:p>
      <w:pPr>
        <w:pStyle w:val="ab"/>
      </w:pPr>
      <w:r>
        <w:t>发言人1 问：微泰在医院销量排名、份额以及HE销售同比增长率等问题？</w:t>
      </w:r>
    </w:p>
    <w:p>
      <w:r>
        <w:rPr>
          <w:rFonts w:ascii="等线(中文正文)" w:hAnsi="等线(中文正文)" w:cs="等线(中文正文)" w:eastAsia="等线(中文正文)"/>
          <w:b w:val="false"/>
          <w:i w:val="false"/>
          <w:sz w:val="20"/>
        </w:rPr>
        <w:t>发言人1 答：微泰在医院销量大致处于第一或第二的位置，虽然份额没有明显统一数据，但医院入院数量增长迅速，尤其在今年，公司整体进院速度是所有部门中最快的。</w:t>
      </w:r>
    </w:p>
    <w:p>
      <w:r>
        <w:rPr>
          <w:rFonts w:ascii="等线(中文正文)" w:hAnsi="等线(中文正文)" w:cs="等线(中文正文)" w:eastAsia="等线(中文正文)"/>
          <w:b w:val="false"/>
          <w:i w:val="false"/>
          <w:sz w:val="20"/>
        </w:rPr>
        <w:t/>
      </w:r>
    </w:p>
    <w:p>
      <w:pPr>
        <w:pStyle w:val="ab"/>
      </w:pPr>
      <w:r>
        <w:t>发言人1 问：对于公司下半年及未来几年的业绩展望是什么？</w:t>
      </w:r>
    </w:p>
    <w:p>
      <w:r>
        <w:rPr>
          <w:rFonts w:ascii="等线(中文正文)" w:hAnsi="等线(中文正文)" w:cs="等线(中文正文)" w:eastAsia="等线(中文正文)"/>
          <w:b w:val="false"/>
          <w:i w:val="false"/>
          <w:sz w:val="20"/>
        </w:rPr>
        <w:t>发言人1 答：下半年动态血糖监测和泵将持续保持同比高速增长，全年业绩预计将超过年初预期，新产品布局和AI严肃应用方面也取得积极进展，正与头部医院、大型科研院所及国内外客户开展内测工作。</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2026-08-23T14:14:42Z</dcterms:created>
  <dc:creator>Apache POI</dc:creator>
</cp:coreProperties>
</file>