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听首席说——中信建投期货周度商品策略会（第217期） 260823_导读</w:t>
      </w:r>
    </w:p>
    <w:p>
      <w:pPr>
        <w:pStyle w:val="a0"/>
        <w:jc w:val="center"/>
      </w:pPr>
      <w:r>
        <w:t>2026年08月23日 22:06</w:t>
      </w:r>
    </w:p>
    <w:p>
      <w:pPr>
        <w:pStyle w:val="a7"/>
      </w:pPr>
      <w:r>
        <w:t>关键词</w:t>
      </w:r>
    </w:p>
    <w:p>
      <w:r>
        <w:rPr>
          <w:rFonts w:ascii="等线(中文正文)" w:hAnsi="等线(中文正文)" w:cs="等线(中文正文)" w:eastAsia="等线(中文正文)"/>
          <w:b w:val="false"/>
          <w:i w:val="false"/>
          <w:sz w:val="20"/>
        </w:rPr>
        <w:t xml:space="preserve">厄尔尼诺 玉米 大豆 菜籽油 植物油 多头脉冲 库存 生物柴油 国际贸易 市场情绪 基差 转基因 能繁母猪 仔猪 农产品 纯碱 玻璃 需求端 供应端 持仓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厄尔尼诺现象影响全球气候，导致美国西部干旱和东部降雨模式改变，进而对农作物生产构成压力，特别是玉米和大豆产量预测低于预期，可能推高农产品价格。太平洋海风活动和农业产区降雨量的变化加剧了这一影响。市场对厄尔尼诺的反应体现在农产品价格上，同时，海外优质股的强势表现对国内定价产生影响。金属市场波动，板块轮动特征明显，未来展望聚焦于农产品板块，全球宏观经济状况被看作是影响市场的重要因素。</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尼罗现象与农产品市场动态分析</w:t>
      </w:r>
    </w:p>
    <w:p>
      <w:r>
        <w:rPr>
          <w:rFonts w:ascii="等线(中文正文)" w:hAnsi="等线(中文正文)" w:cs="等线(中文正文)" w:eastAsia="等线(中文正文)"/>
          <w:b w:val="false"/>
          <w:i w:val="false"/>
          <w:sz w:val="20"/>
        </w:rPr>
        <w:t>尼罗3.4指数上升，预示2023年可能成为最强尼罗年份之一，影响全球气候与农产品市场。美国玉米与大豆单产预期下调，引发价格上行脉冲。国内玉米、菜籽油等农产品受海外多头影响，价格波动明显。同时，仔猪与能繁母猪价格创新低，预示供应预期向下转折，需求缓慢回升，上游增库存趋势显著切换。</w:t>
      </w:r>
    </w:p>
    <w:p>
      <w:r>
        <w:rPr>
          <w:rFonts w:ascii="等线(中文正文)" w:hAnsi="等线(中文正文)" w:cs="等线(中文正文)" w:eastAsia="等线(中文正文)"/>
          <w:b w:val="false"/>
          <w:i w:val="false"/>
          <w:sz w:val="20"/>
        </w:rPr>
        <w:t/>
      </w:r>
    </w:p>
    <w:p>
      <w:pPr>
        <w:pStyle w:val="ab"/>
        <w:numPr>
          <w:numId w:val="2"/>
        </w:numPr>
      </w:pPr>
      <w:r>
        <w:t>06:11 厄尔尼诺与农产品市场：植物油需求增长与玉米价格弹性</w:t>
      </w:r>
    </w:p>
    <w:p>
      <w:r>
        <w:rPr>
          <w:rFonts w:ascii="等线(中文正文)" w:hAnsi="等线(中文正文)" w:cs="等线(中文正文)" w:eastAsia="等线(中文正文)"/>
          <w:b w:val="false"/>
          <w:i w:val="false"/>
          <w:sz w:val="20"/>
        </w:rPr>
        <w:t>讨论了厄尔尼诺现象对农产品市场的影响，特别是秘鲁渔业减产导致鱼油价格上涨，以及东南亚地区降水模式变化。预测马来西亚和印尼的植物油产量将下降，但需求因生物柴油等因素而增长。强调了玉米价格的向上弹性，认为其有较好的交易机会。同时，分析了美豆和美玉米的预期差，以及中国与美国贸易关系缓和可能带来的市场变化。</w:t>
      </w:r>
    </w:p>
    <w:p>
      <w:r>
        <w:rPr>
          <w:rFonts w:ascii="等线(中文正文)" w:hAnsi="等线(中文正文)" w:cs="等线(中文正文)" w:eastAsia="等线(中文正文)"/>
          <w:b w:val="false"/>
          <w:i w:val="false"/>
          <w:sz w:val="20"/>
        </w:rPr>
        <w:t/>
      </w:r>
    </w:p>
    <w:p>
      <w:pPr>
        <w:pStyle w:val="ab"/>
        <w:numPr>
          <w:numId w:val="3"/>
        </w:numPr>
      </w:pPr>
      <w:r>
        <w:t>10:49 纯碱玻璃市场行情分析与展望</w:t>
      </w:r>
    </w:p>
    <w:p>
      <w:r>
        <w:rPr>
          <w:rFonts w:ascii="等线(中文正文)" w:hAnsi="等线(中文正文)" w:cs="等线(中文正文)" w:eastAsia="等线(中文正文)"/>
          <w:b w:val="false"/>
          <w:i w:val="false"/>
          <w:sz w:val="20"/>
        </w:rPr>
        <w:t>分享了纯碱玻璃市场近期的行情变化，包括七月份的大幅下跌和八月份的部分反弹。分析了下跌原因主要为需求疲软、供应压力大，以及光伏和浮法玻璃行业的亏损影响。指出当前市场处于低估值状态，未来一两个月行情可能受季节性旺季影响，需关注供应端调整和需求端恢复情况。</w:t>
      </w:r>
    </w:p>
    <w:p>
      <w:r>
        <w:rPr>
          <w:rFonts w:ascii="等线(中文正文)" w:hAnsi="等线(中文正文)" w:cs="等线(中文正文)" w:eastAsia="等线(中文正文)"/>
          <w:b w:val="false"/>
          <w:i w:val="false"/>
          <w:sz w:val="20"/>
        </w:rPr>
        <w:t/>
      </w:r>
    </w:p>
    <w:p>
      <w:pPr>
        <w:pStyle w:val="ab"/>
        <w:numPr>
          <w:numId w:val="4"/>
        </w:numPr>
      </w:pPr>
      <w:r>
        <w:t>15:32 纯碱市场供需分析与价格走势预测</w:t>
      </w:r>
    </w:p>
    <w:p>
      <w:r>
        <w:rPr>
          <w:rFonts w:ascii="等线(中文正文)" w:hAnsi="等线(中文正文)" w:cs="等线(中文正文)" w:eastAsia="等线(中文正文)"/>
          <w:b w:val="false"/>
          <w:i w:val="false"/>
          <w:sz w:val="20"/>
        </w:rPr>
        <w:t>纯碱市场需求季节性特征不明显，供应端在四季度可能维持高位，库存压力大。光伏玻璃减产计划将影响纯碱需求，出口可能部分抵消需求下降。01合约价格预计反弹至1100附近，但供需基本面边际转弱，市场对纯碱持中性至偏空观点。</w:t>
      </w:r>
    </w:p>
    <w:p>
      <w:r>
        <w:rPr>
          <w:rFonts w:ascii="等线(中文正文)" w:hAnsi="等线(中文正文)" w:cs="等线(中文正文)" w:eastAsia="等线(中文正文)"/>
          <w:b w:val="false"/>
          <w:i w:val="false"/>
          <w:sz w:val="20"/>
        </w:rPr>
        <w:t/>
      </w:r>
    </w:p>
    <w:p>
      <w:pPr>
        <w:pStyle w:val="ab"/>
        <w:numPr>
          <w:numId w:val="5"/>
        </w:numPr>
      </w:pPr>
      <w:r>
        <w:t>19:23 玻璃市场供需分析与价格预测</w:t>
      </w:r>
    </w:p>
    <w:p>
      <w:r>
        <w:rPr>
          <w:rFonts w:ascii="等线(中文正文)" w:hAnsi="等线(中文正文)" w:cs="等线(中文正文)" w:eastAsia="等线(中文正文)"/>
          <w:b w:val="false"/>
          <w:i w:val="false"/>
          <w:sz w:val="20"/>
        </w:rPr>
        <w:t>对话深入探讨了玻璃市场的供需情况，指出1-7月竣工面积大幅下降导致需求同比下滑，但预计9-10月订单天数将有5%-10%的环比增幅。当前玻璃日熔量稳定在14.5万吨左右，库存约380万吨。近期日熔量降至14.2万吨，两周去库2万吨。预计旺季需求回升至15万吨附近，但总库存量大，旺季去库40万吨对价格利好有限。供应端的边际变动虽小，但对市场情绪影响大，需关注超预期供应下降对价格反弹的推动作用。</w:t>
      </w:r>
    </w:p>
    <w:p>
      <w:r>
        <w:rPr>
          <w:rFonts w:ascii="等线(中文正文)" w:hAnsi="等线(中文正文)" w:cs="等线(中文正文)" w:eastAsia="等线(中文正文)"/>
          <w:b w:val="false"/>
          <w:i w:val="false"/>
          <w:sz w:val="20"/>
        </w:rPr>
        <w:t/>
      </w:r>
    </w:p>
    <w:p>
      <w:pPr>
        <w:pStyle w:val="ab"/>
        <w:numPr>
          <w:numId w:val="6"/>
        </w:numPr>
      </w:pPr>
      <w:r>
        <w:t>22:39 纯碱玻璃市场走势与价差交易策略分析</w:t>
      </w:r>
    </w:p>
    <w:p>
      <w:r>
        <w:rPr>
          <w:rFonts w:ascii="等线(中文正文)" w:hAnsi="等线(中文正文)" w:cs="等线(中文正文)" w:eastAsia="等线(中文正文)"/>
          <w:b w:val="false"/>
          <w:i w:val="false"/>
          <w:sz w:val="20"/>
        </w:rPr>
        <w:t>讨论了纯碱和玻璃短期内可能维持在900至950的价格区间内波动，强调了湖北地区石油焦改造对供应端的影响。建议关注湖北地区的变动，认为其可能推动价格中枢上移。从价差交易角度，推荐多玻璃空纯碱策略，认为玻璃有超预期供应下降可能，而纯碱需求在四季度不乐观。短期无明显单边驱动，建议采取期权策略以应对市场波动。</w:t>
      </w:r>
    </w:p>
    <w:p>
      <w:r>
        <w:rPr>
          <w:rFonts w:ascii="等线(中文正文)" w:hAnsi="等线(中文正文)" w:cs="等线(中文正文)" w:eastAsia="等线(中文正文)"/>
          <w:b w:val="false"/>
          <w:i w:val="false"/>
          <w:sz w:val="20"/>
        </w:rPr>
        <w:t/>
      </w:r>
    </w:p>
    <w:p>
      <w:pPr>
        <w:pStyle w:val="ab"/>
        <w:numPr>
          <w:numId w:val="7"/>
        </w:numPr>
      </w:pPr>
      <w:r>
        <w:t>26:38 金属市场板块轮动与未来趋势分析</w:t>
      </w:r>
    </w:p>
    <w:p>
      <w:r>
        <w:rPr>
          <w:rFonts w:ascii="等线(中文正文)" w:hAnsi="等线(中文正文)" w:cs="等线(中文正文)" w:eastAsia="等线(中文正文)"/>
          <w:b w:val="false"/>
          <w:i w:val="false"/>
          <w:sz w:val="20"/>
        </w:rPr>
        <w:t>分享了金属市场板块轮动特征，指出能化板块尤其是原油领涨，贵金属与有色板块延续上涨，农产品涨幅较少，预期农产品可能接力补涨。</w:t>
      </w:r>
    </w:p>
    <w:p>
      <w:r>
        <w:rPr>
          <w:rFonts w:ascii="等线(中文正文)" w:hAnsi="等线(中文正文)" w:cs="等线(中文正文)" w:eastAsia="等线(中文正文)"/>
          <w:b w:val="false"/>
          <w:i w:val="false"/>
          <w:sz w:val="20"/>
        </w:rPr>
        <w:t/>
      </w:r>
    </w:p>
    <w:p>
      <w:pPr>
        <w:pStyle w:val="ab"/>
        <w:numPr>
          <w:numId w:val="8"/>
        </w:numPr>
      </w:pPr>
      <w:r>
        <w:t>31:04 商品市场持仓分析与农产品价格趋势预测</w:t>
      </w:r>
    </w:p>
    <w:p>
      <w:r>
        <w:rPr>
          <w:rFonts w:ascii="等线(中文正文)" w:hAnsi="等线(中文正文)" w:cs="等线(中文正文)" w:eastAsia="等线(中文正文)"/>
          <w:b w:val="false"/>
          <w:i w:val="false"/>
          <w:sz w:val="20"/>
        </w:rPr>
        <w:t>从资金持仓角度看，贵金属和有色板块持仓量下降，黑色和能化板块增仓显著，农产品持仓量略有下降。全球宏观经济偏弱，滞涨风险加大，影响PPI做多性价比。油价上涨成本传导可能支撑农产品价格中枢上移，需关注供应端变化及天气等边际影响。有色市场波动率降温，商品板块轮动有规律，未来应重点关注农产品板块。</w:t>
      </w:r>
    </w:p>
    <w:p>
      <w:r>
        <w:rPr>
          <w:rFonts w:ascii="等线(中文正文)" w:hAnsi="等线(中文正文)" w:cs="等线(中文正文)" w:eastAsia="等线(中文正文)"/>
          <w:b w:val="false"/>
          <w:i w:val="false"/>
          <w:sz w:val="20"/>
        </w:rPr>
        <w:t/>
      </w:r>
    </w:p>
    <w:p>
      <w:pPr>
        <w:pStyle w:val="a7"/>
      </w:pPr>
      <w:r>
        <w:t>发言总结</w:t>
      </w:r>
    </w:p>
    <w:p>
      <w:pPr>
        <w:pStyle w:val="ab"/>
        <w:numPr>
          <w:numId w:val="9"/>
        </w:numPr>
      </w:pPr>
      <w:r>
        <w:t>发言人1</w:t>
      </w:r>
    </w:p>
    <w:p>
      <w:r>
        <w:rPr>
          <w:rFonts w:ascii="等线(中文正文)" w:hAnsi="等线(中文正文)" w:cs="等线(中文正文)" w:eastAsia="等线(中文正文)"/>
          <w:b w:val="false"/>
          <w:i w:val="false"/>
          <w:sz w:val="20"/>
        </w:rPr>
        <w:t>他讨论了气候变化对全球农业市场的影响，尤其指出了尼罗3.4指数的上升和厄尔尼诺现象可能导致的农产品价格波动。他强调，当前七月份尼罗3.4指数已达2.06摄氏度，预示着气候变化进入强阈值，预计11月末至12月初厄尔尼诺现象将达到峰值，可能成为历史上最强之一，对全球气候和农业生产产生深远影响。此外，他分析了美国西部的干旱与东部降雨超预期现象对农业市场的影响，以及这可能导致的农产品价格上扬。他还关注了金属市场，特别是农产品板块可能接替能化板块成为市场焦点的潜力，尤其是在全球经济面临滞涨风险和能源价格高企的背景下。他建议投资者关注农产品市场的波动，特别是考虑中东地区地缘政治对全球供应链的影响。同时，他提到了工业品、贵金属、黑色金属等其他市场的动态，强调了市场波动率的变化，并建议投资策略需根据市场的周期性波动和当前的经济环境进行调整。整体而言，他的发言聚焦于全球气候变化对农业生产的影响、大宗商品市场的周期性波动以及投资者如何在当前复杂的全球经济背景下做出明智的投资决策。</w:t>
      </w:r>
    </w:p>
    <w:p>
      <w:r>
        <w:rPr>
          <w:rFonts w:ascii="等线(中文正文)" w:hAnsi="等线(中文正文)" w:cs="等线(中文正文)" w:eastAsia="等线(中文正文)"/>
          <w:b w:val="false"/>
          <w:i w:val="false"/>
          <w:sz w:val="20"/>
        </w:rPr>
        <w:t/>
      </w:r>
    </w:p>
    <w:p>
      <w:pPr>
        <w:pStyle w:val="a7"/>
      </w:pPr>
      <w:r>
        <w:t>要点回顾</w:t>
      </w:r>
    </w:p>
    <w:p>
      <w:pPr>
        <w:pStyle w:val="ab"/>
      </w:pPr>
      <w:r>
        <w:t>尼罗3.4指数当前的状态和预测是怎样的？</w:t>
      </w:r>
    </w:p>
    <w:p>
      <w:r>
        <w:rPr>
          <w:rFonts w:ascii="等线(中文正文)" w:hAnsi="等线(中文正文)" w:cs="等线(中文正文)" w:eastAsia="等线(中文正文)"/>
          <w:b w:val="false"/>
          <w:i w:val="false"/>
          <w:sz w:val="20"/>
        </w:rPr>
        <w:t>发言人1：目前，尼罗3.4指数已达到非常强的阈值，预计其巅峰峰值将在11月末至12月初出现，并可能成为有记录以来最强的一次厄尔尼诺现象。</w:t>
      </w:r>
    </w:p>
    <w:p>
      <w:r>
        <w:rPr>
          <w:rFonts w:ascii="等线(中文正文)" w:hAnsi="等线(中文正文)" w:cs="等线(中文正文)" w:eastAsia="等线(中文正文)"/>
          <w:b w:val="false"/>
          <w:i w:val="false"/>
          <w:sz w:val="20"/>
        </w:rPr>
        <w:t/>
      </w:r>
    </w:p>
    <w:p>
      <w:pPr>
        <w:pStyle w:val="ab"/>
      </w:pPr>
      <w:r>
        <w:t>美国西部干旱与东部降雨的情况如何？对农产品产量有何影响？</w:t>
      </w:r>
    </w:p>
    <w:p>
      <w:r>
        <w:rPr>
          <w:rFonts w:ascii="等线(中文正文)" w:hAnsi="等线(中文正文)" w:cs="等线(中文正文)" w:eastAsia="等线(中文正文)"/>
          <w:b w:val="false"/>
          <w:i w:val="false"/>
          <w:sz w:val="20"/>
        </w:rPr>
        <w:t>发言人1：美国西部相对干旱，而东部降雨超预期，形成了“一半孩子一半火焰”的局面。当前数据表明，玉米和大豆的实际单产数据可能低于基于模型预期的值，这有望带来农产品上行的预期差脉冲行情。</w:t>
      </w:r>
    </w:p>
    <w:p>
      <w:r>
        <w:rPr>
          <w:rFonts w:ascii="等线(中文正文)" w:hAnsi="等线(中文正文)" w:cs="等线(中文正文)" w:eastAsia="等线(中文正文)"/>
          <w:b w:val="false"/>
          <w:i w:val="false"/>
          <w:sz w:val="20"/>
        </w:rPr>
        <w:t/>
      </w:r>
    </w:p>
    <w:p>
      <w:pPr>
        <w:pStyle w:val="ab"/>
      </w:pPr>
      <w:r>
        <w:t>玉米价格近期表现如何？有哪些关键因素？</w:t>
      </w:r>
    </w:p>
    <w:p>
      <w:r>
        <w:rPr>
          <w:rFonts w:ascii="等线(中文正文)" w:hAnsi="等线(中文正文)" w:cs="等线(中文正文)" w:eastAsia="等线(中文正文)"/>
          <w:b w:val="false"/>
          <w:i w:val="false"/>
          <w:sz w:val="20"/>
        </w:rPr>
        <w:t>发言人1：国内玉米价格经历了触底反弹的过程，玉米率先触底后反弹，节奏类似于两周前的黄金行情。其核心抛压来自于供应端，如小麦替代、华道进口以及高粱进口等，但这些利空已在盘面中得到定价。海外玉米价格清除反弹路径，使得国内玉米定价迎来一波脉冲向上的机会窗口。</w:t>
      </w:r>
    </w:p>
    <w:p>
      <w:r>
        <w:rPr>
          <w:rFonts w:ascii="等线(中文正文)" w:hAnsi="等线(中文正文)" w:cs="等线(中文正文)" w:eastAsia="等线(中文正文)"/>
          <w:b w:val="false"/>
          <w:i w:val="false"/>
          <w:sz w:val="20"/>
        </w:rPr>
        <w:t/>
      </w:r>
    </w:p>
    <w:p>
      <w:pPr>
        <w:pStyle w:val="ab"/>
      </w:pPr>
      <w:r>
        <w:t>豆一、菜籽油等其他农产品有何动态？</w:t>
      </w:r>
    </w:p>
    <w:p>
      <w:r>
        <w:rPr>
          <w:rFonts w:ascii="等线(中文正文)" w:hAnsi="等线(中文正文)" w:cs="等线(中文正文)" w:eastAsia="等线(中文正文)"/>
          <w:b w:val="false"/>
          <w:i w:val="false"/>
          <w:sz w:val="20"/>
        </w:rPr>
        <w:t>发言人1：豆一和菜籽油受到海外农产品多头脉冲的影响，表现强劲。尤其是菜籽油，由于国内库存去化、进口限制以及国储和省级储备形成的菜油补库等因素，近月菜油价格走强。同时，九月和1月价差超过full Carry阈值，但这种现象可能难以持续。</w:t>
      </w:r>
    </w:p>
    <w:p>
      <w:r>
        <w:rPr>
          <w:rFonts w:ascii="等线(中文正文)" w:hAnsi="等线(中文正文)" w:cs="等线(中文正文)" w:eastAsia="等线(中文正文)"/>
          <w:b w:val="false"/>
          <w:i w:val="false"/>
          <w:sz w:val="20"/>
        </w:rPr>
        <w:t/>
      </w:r>
    </w:p>
    <w:p>
      <w:pPr>
        <w:pStyle w:val="ab"/>
      </w:pPr>
      <w:r>
        <w:t>对于大豆市场的看法是什么？</w:t>
      </w:r>
    </w:p>
    <w:p>
      <w:r>
        <w:rPr>
          <w:rFonts w:ascii="等线(中文正文)" w:hAnsi="等线(中文正文)" w:cs="等线(中文正文)" w:eastAsia="等线(中文正文)"/>
          <w:b w:val="false"/>
          <w:i w:val="false"/>
          <w:sz w:val="20"/>
        </w:rPr>
        <w:t>发言人1：大豆方面，近期现货价格在4800以下深度折溢价，基差深度复制，现货不支撑盘面。九月和11月合约间月间价差超过full Carry阈值，但情绪交易倾向警惕。整体来看，斗一国产大豆现货价格大涨，但09合约和10合约未迅速跟进，预计9月将面临供应增长带来的过剩压力。</w:t>
      </w:r>
    </w:p>
    <w:p>
      <w:r>
        <w:rPr>
          <w:rFonts w:ascii="等线(中文正文)" w:hAnsi="等线(中文正文)" w:cs="等线(中文正文)" w:eastAsia="等线(中文正文)"/>
          <w:b w:val="false"/>
          <w:i w:val="false"/>
          <w:sz w:val="20"/>
        </w:rPr>
        <w:t/>
      </w:r>
    </w:p>
    <w:p>
      <w:pPr>
        <w:pStyle w:val="ab"/>
      </w:pPr>
      <w:r>
        <w:t>仔猪和能繁母猪价格下降意味着什么？</w:t>
      </w:r>
    </w:p>
    <w:p>
      <w:r>
        <w:rPr>
          <w:rFonts w:ascii="等线(中文正文)" w:hAnsi="等线(中文正文)" w:cs="等线(中文正文)" w:eastAsia="等线(中文正文)"/>
          <w:b w:val="false"/>
          <w:i w:val="false"/>
          <w:sz w:val="20"/>
        </w:rPr>
        <w:t>发言人1：仔猪和能繁母猪价格近期创出新低，预示着预期增加供应的预期出现明显向下转折。需求在缓慢回升阶段，上游增库存视角已显著切换，预计未来供应过剩的情况将有所缓解。</w:t>
      </w:r>
    </w:p>
    <w:p>
      <w:r>
        <w:rPr>
          <w:rFonts w:ascii="等线(中文正文)" w:hAnsi="等线(中文正文)" w:cs="等线(中文正文)" w:eastAsia="等线(中文正文)"/>
          <w:b w:val="false"/>
          <w:i w:val="false"/>
          <w:sz w:val="20"/>
        </w:rPr>
        <w:t/>
      </w:r>
    </w:p>
    <w:p>
      <w:pPr>
        <w:pStyle w:val="ab"/>
      </w:pPr>
      <w:r>
        <w:t>对玉米市场的策略建议是什么？</w:t>
      </w:r>
    </w:p>
    <w:p>
      <w:r>
        <w:rPr>
          <w:rFonts w:ascii="等线(中文正文)" w:hAnsi="等线(中文正文)" w:cs="等线(中文正文)" w:eastAsia="等线(中文正文)"/>
          <w:b w:val="false"/>
          <w:i w:val="false"/>
          <w:sz w:val="20"/>
        </w:rPr>
        <w:t>发言人1：对于玉米市场，建议关注电子价差，并考虑利用可能率先触底并走库的时机，采取比单边度运反弹更为稳健的交易手法。</w:t>
      </w:r>
    </w:p>
    <w:p>
      <w:r>
        <w:rPr>
          <w:rFonts w:ascii="等线(中文正文)" w:hAnsi="等线(中文正文)" w:cs="等线(中文正文)" w:eastAsia="等线(中文正文)"/>
          <w:b w:val="false"/>
          <w:i w:val="false"/>
          <w:sz w:val="20"/>
        </w:rPr>
        <w:t/>
      </w:r>
    </w:p>
    <w:p>
      <w:pPr>
        <w:pStyle w:val="ab"/>
      </w:pPr>
      <w:r>
        <w:t>厄尔尼诺现象对未来农产品定价有何影响？</w:t>
      </w:r>
    </w:p>
    <w:p>
      <w:r>
        <w:rPr>
          <w:rFonts w:ascii="等线(中文正文)" w:hAnsi="等线(中文正文)" w:cs="等线(中文正文)" w:eastAsia="等线(中文正文)"/>
          <w:b w:val="false"/>
          <w:i w:val="false"/>
          <w:sz w:val="20"/>
        </w:rPr>
        <w:t>发言人1：厄尔尼诺现象可能导致秘鲁皮皮鱼捕捞配额减少，同步鱼油价格大幅上涨，暗示表层海水温度上升导致鱼群减少。此外，未来区域滑动平均温度超过2.5摄氏度的概率较高，可能导致后续农产品供应减少。在定价厄尔尼诺时，仍认为中国是一个较好的选择标的。</w:t>
      </w:r>
    </w:p>
    <w:p>
      <w:r>
        <w:rPr>
          <w:rFonts w:ascii="等线(中文正文)" w:hAnsi="等线(中文正文)" w:cs="等线(中文正文)" w:eastAsia="等线(中文正文)"/>
          <w:b w:val="false"/>
          <w:i w:val="false"/>
          <w:sz w:val="20"/>
        </w:rPr>
        <w:t/>
      </w:r>
    </w:p>
    <w:p>
      <w:pPr>
        <w:pStyle w:val="ab"/>
      </w:pPr>
      <w:r>
        <w:t>对于后续农产品市场的预期差有哪些关键点？</w:t>
      </w:r>
    </w:p>
    <w:p>
      <w:r>
        <w:rPr>
          <w:rFonts w:ascii="等线(中文正文)" w:hAnsi="等线(中文正文)" w:cs="等线(中文正文)" w:eastAsia="等线(中文正文)"/>
          <w:b w:val="false"/>
          <w:i w:val="false"/>
          <w:sz w:val="20"/>
        </w:rPr>
        <w:t>发言人1：关键预期差包括今年年底的产出情况、美豆和美玉米单产的兑现、以及中国可能对美国农产品购买的缓和程度。这些因素将影响农产品库存水平及市场价格走势。</w:t>
      </w:r>
    </w:p>
    <w:p>
      <w:r>
        <w:rPr>
          <w:rFonts w:ascii="等线(中文正文)" w:hAnsi="等线(中文正文)" w:cs="等线(中文正文)" w:eastAsia="等线(中文正文)"/>
          <w:b w:val="false"/>
          <w:i w:val="false"/>
          <w:sz w:val="20"/>
        </w:rPr>
        <w:t/>
      </w:r>
    </w:p>
    <w:p>
      <w:pPr>
        <w:pStyle w:val="ab"/>
      </w:pPr>
      <w:r>
        <w:t>在物流方面，您认为当前的瓶颈问题是什么？对于农产品市场，您的看法如何？</w:t>
      </w:r>
    </w:p>
    <w:p>
      <w:r>
        <w:rPr>
          <w:rFonts w:ascii="等线(中文正文)" w:hAnsi="等线(中文正文)" w:cs="等线(中文正文)" w:eastAsia="等线(中文正文)"/>
          <w:b w:val="false"/>
          <w:i w:val="false"/>
          <w:sz w:val="20"/>
        </w:rPr>
        <w:t>发言人1：物流瓶颈问题中，宽频运输存在较大问题，尤其是水位超预期的下跌，以及俄罗斯和乌克兰蜗牛水平的下降，暗示产品区域间运输并未像想象中那么顺畅。这些因素会影响国际贸易，并导致产品溢价逐渐反映到产品价格中。我们对农产品持偏乐观态度，认为最凌厉的上行时刻可能尚未充分展现。我们将重点进攻方向放在国货市场，并且从短商品视角关注市场动态。</w:t>
      </w:r>
    </w:p>
    <w:p>
      <w:r>
        <w:rPr>
          <w:rFonts w:ascii="等线(中文正文)" w:hAnsi="等线(中文正文)" w:cs="等线(中文正文)" w:eastAsia="等线(中文正文)"/>
          <w:b w:val="false"/>
          <w:i w:val="false"/>
          <w:sz w:val="20"/>
        </w:rPr>
        <w:t/>
      </w:r>
    </w:p>
    <w:p>
      <w:pPr>
        <w:pStyle w:val="ab"/>
      </w:pPr>
      <w:r>
        <w:t>您能否分享一下关于纯碱玻璃市场的近期行情观点？</w:t>
      </w:r>
    </w:p>
    <w:p>
      <w:r>
        <w:rPr>
          <w:rFonts w:ascii="等线(中文正文)" w:hAnsi="等线(中文正文)" w:cs="等线(中文正文)" w:eastAsia="等线(中文正文)"/>
          <w:b w:val="false"/>
          <w:i w:val="false"/>
          <w:sz w:val="20"/>
        </w:rPr>
        <w:t>发言人1：当然可以。近期纯碱和玻璃在市场中表现活跃，持仓量均出现显著增长，特别是在七月份经历了较大幅度下跌后，市场分歧加大。目前在传统旺季金九银十来临之际，我们需要分析未来一两个月纯碱玻璃的行情走势。</w:t>
      </w:r>
    </w:p>
    <w:p>
      <w:r>
        <w:rPr>
          <w:rFonts w:ascii="等线(中文正文)" w:hAnsi="等线(中文正文)" w:cs="等线(中文正文)" w:eastAsia="等线(中文正文)"/>
          <w:b w:val="false"/>
          <w:i w:val="false"/>
          <w:sz w:val="20"/>
        </w:rPr>
        <w:t/>
      </w:r>
    </w:p>
    <w:p>
      <w:pPr>
        <w:pStyle w:val="ab"/>
      </w:pPr>
      <w:r>
        <w:t>为什么七月份纯碱和玻璃价格大幅下跌？</w:t>
      </w:r>
    </w:p>
    <w:p>
      <w:r>
        <w:rPr>
          <w:rFonts w:ascii="等线(中文正文)" w:hAnsi="等线(中文正文)" w:cs="等线(中文正文)" w:eastAsia="等线(中文正文)"/>
          <w:b w:val="false"/>
          <w:i w:val="false"/>
          <w:sz w:val="20"/>
        </w:rPr>
        <w:t>发言人1：七月份纯碱下跌约13%至14%，玻璃主力合约跌幅约10%。纯碱由于作为原材料，其价格波动更大，而下跌原因主要是需求偏弱且预期极度悲观，供应端虽有高位但仍持续，同时新增产能投放计划较多。玻璃方面，需求端尤其是浮法玻璃行业亏损严重，加上光伏玻璃需求快速下降，导致价格下跌。</w:t>
      </w:r>
    </w:p>
    <w:p>
      <w:r>
        <w:rPr>
          <w:rFonts w:ascii="等线(中文正文)" w:hAnsi="等线(中文正文)" w:cs="等线(中文正文)" w:eastAsia="等线(中文正文)"/>
          <w:b w:val="false"/>
          <w:i w:val="false"/>
          <w:sz w:val="20"/>
        </w:rPr>
        <w:t/>
      </w:r>
    </w:p>
    <w:p>
      <w:pPr>
        <w:pStyle w:val="ab"/>
      </w:pPr>
      <w:r>
        <w:t>对于即将到来的金九银十旺季，纯碱和玻璃需求会如何变化？</w:t>
      </w:r>
    </w:p>
    <w:p>
      <w:r>
        <w:rPr>
          <w:rFonts w:ascii="等线(中文正文)" w:hAnsi="等线(中文正文)" w:cs="等线(中文正文)" w:eastAsia="等线(中文正文)"/>
          <w:b w:val="false"/>
          <w:i w:val="false"/>
          <w:sz w:val="20"/>
        </w:rPr>
        <w:t>发言人1：对于纯碱而言，其需求在金九银十期间可能不会有特别明显的改善，而供应端在下半年可能会保持高位，尤其是四季度检修减少，供应回升。相反，玻璃在旺季时由于生产连续性较强，需求改善可能较为有限，但海外市场需求在下半年会有一定增量。总体来看，纯碱的需求季节性特征并不明显，而供应端预计会在四季度达到年内相对高位。</w:t>
      </w:r>
    </w:p>
    <w:p>
      <w:r>
        <w:rPr>
          <w:rFonts w:ascii="等线(中文正文)" w:hAnsi="等线(中文正文)" w:cs="等线(中文正文)" w:eastAsia="等线(中文正文)"/>
          <w:b w:val="false"/>
          <w:i w:val="false"/>
          <w:sz w:val="20"/>
        </w:rPr>
        <w:t/>
      </w:r>
    </w:p>
    <w:p>
      <w:pPr>
        <w:pStyle w:val="ab"/>
      </w:pPr>
      <w:r>
        <w:t>近期纯碱出口情况如何，对整体库存有何影响？纯碱价格目前的情况以及可能的走势是怎样的？</w:t>
      </w:r>
    </w:p>
    <w:p>
      <w:r>
        <w:rPr>
          <w:rFonts w:ascii="等线(中文正文)" w:hAnsi="等线(中文正文)" w:cs="等线(中文正文)" w:eastAsia="等线(中文正文)"/>
          <w:b w:val="false"/>
          <w:i w:val="false"/>
          <w:sz w:val="20"/>
        </w:rPr>
        <w:t>发言人1：最近纯碱出口量在28到30万吨的高位运行，虽然能部分抵消国内重点需求下降的影响，但整体库存仍然处于高位边界状态。01合约价格目前在1060附近，如果宏观环境较好，可能会反弹至1100左右；但如果宏观没有显著变化，反弹幅度可能会受限于1100附近，因为该位置是全行业成本线附近，不易出现亏损。</w:t>
      </w:r>
    </w:p>
    <w:p>
      <w:r>
        <w:rPr>
          <w:rFonts w:ascii="等线(中文正文)" w:hAnsi="等线(中文正文)" w:cs="等线(中文正文)" w:eastAsia="等线(中文正文)"/>
          <w:b w:val="false"/>
          <w:i w:val="false"/>
          <w:sz w:val="20"/>
        </w:rPr>
        <w:t/>
      </w:r>
    </w:p>
    <w:p>
      <w:pPr>
        <w:pStyle w:val="ab"/>
      </w:pPr>
      <w:r>
        <w:t>玻璃行业的现状及未来需求预期如何？对于玻璃和纯碱的短期展望是什么？</w:t>
      </w:r>
    </w:p>
    <w:p>
      <w:r>
        <w:rPr>
          <w:rFonts w:ascii="等线(中文正文)" w:hAnsi="等线(中文正文)" w:cs="等线(中文正文)" w:eastAsia="等线(中文正文)"/>
          <w:b w:val="false"/>
          <w:i w:val="false"/>
          <w:sz w:val="20"/>
        </w:rPr>
        <w:t>发言人1：玻璃行业需求端受房地产影响较大，长期看竣工面积降幅较大，同比均呈下降趋势。但短期内，根据第三方统计数据显示，玻璃企业深加工订单天数在8月中旬有所回升，预计9至10月份环比增长5%左右。短期内，玻璃和纯碱的价格可能在900至950的区间内震荡，具体走势取决于供应变动和市场需求情况。而纯碱价格若进一步上涨，将面临较强的压力。</w:t>
      </w:r>
    </w:p>
    <w:p>
      <w:r>
        <w:rPr>
          <w:rFonts w:ascii="等线(中文正文)" w:hAnsi="等线(中文正文)" w:cs="等线(中文正文)" w:eastAsia="等线(中文正文)"/>
          <w:b w:val="false"/>
          <w:i w:val="false"/>
          <w:sz w:val="20"/>
        </w:rPr>
        <w:t/>
      </w:r>
    </w:p>
    <w:p>
      <w:pPr>
        <w:pStyle w:val="ab"/>
      </w:pPr>
      <w:r>
        <w:t>当前玻璃供需平衡状况及未来展望是怎样的？</w:t>
      </w:r>
    </w:p>
    <w:p>
      <w:r>
        <w:rPr>
          <w:rFonts w:ascii="等线(中文正文)" w:hAnsi="等线(中文正文)" w:cs="等线(中文正文)" w:eastAsia="等线(中文正文)"/>
          <w:b w:val="false"/>
          <w:i w:val="false"/>
          <w:sz w:val="20"/>
        </w:rPr>
        <w:t>发言人1：目前玻璃日熔量约14.5万吨，库存基本稳定在380万吨附近。若需求回升至表观需求15万吨左右，结合最新的日熔量数据，预计旺季时每周可去库4万吨，但相对于总库存量级，对价格的利好有限。</w:t>
      </w:r>
    </w:p>
    <w:p>
      <w:r>
        <w:rPr>
          <w:rFonts w:ascii="等线(中文正文)" w:hAnsi="等线(中文正文)" w:cs="等线(中文正文)" w:eastAsia="等线(中文正文)"/>
          <w:b w:val="false"/>
          <w:i w:val="false"/>
          <w:sz w:val="20"/>
        </w:rPr>
        <w:t/>
      </w:r>
    </w:p>
    <w:p>
      <w:pPr>
        <w:pStyle w:val="ab"/>
      </w:pPr>
      <w:r>
        <w:t>玻璃价格未来走势主要取决于哪些因素？</w:t>
      </w:r>
    </w:p>
    <w:p>
      <w:r>
        <w:rPr>
          <w:rFonts w:ascii="等线(中文正文)" w:hAnsi="等线(中文正文)" w:cs="等线(中文正文)" w:eastAsia="等线(中文正文)"/>
          <w:b w:val="false"/>
          <w:i w:val="false"/>
          <w:sz w:val="20"/>
        </w:rPr>
        <w:t>发言人1：短期内，玻璃价格走势的关键在于关注深加工订单天数的变动和供应端的变动。尤其是湖北地区石油焦改造为天然气的情况，若改造完成并导致供应减少，可能会使市场最低交割品价格有所提升，从而影响整个市场的价格中枢。</w:t>
      </w:r>
    </w:p>
    <w:p>
      <w:r>
        <w:rPr>
          <w:rFonts w:ascii="等线(中文正文)" w:hAnsi="等线(中文正文)" w:cs="等线(中文正文)" w:eastAsia="等线(中文正文)"/>
          <w:b w:val="false"/>
          <w:i w:val="false"/>
          <w:sz w:val="20"/>
        </w:rPr>
        <w:t/>
      </w:r>
    </w:p>
    <w:p>
      <w:pPr>
        <w:pStyle w:val="ab"/>
      </w:pPr>
      <w:r>
        <w:t>纯碱玻璃价格方面，您觉得四季度会如何变化？对于当前的纯碱玻璃价差，您有什么看法和建议吗？</w:t>
      </w:r>
    </w:p>
    <w:p>
      <w:r>
        <w:rPr>
          <w:rFonts w:ascii="等线(中文正文)" w:hAnsi="等线(中文正文)" w:cs="等线(中文正文)" w:eastAsia="等线(中文正文)"/>
          <w:b w:val="false"/>
          <w:i w:val="false"/>
          <w:sz w:val="20"/>
        </w:rPr>
        <w:t>发言人1：四季度纯碱玻璃的价格可能会受到冷修供应下降的影响，尤其是玻璃在相对低位时的冷修会导致纯碱需求减少，整体形势不太乐观。因此，建议可以尝试进行多玻璃空纯碱的交易策略，当前价差约为130左右，盘中甚至升至140左右。由于价差空间有限，建议关注并尝试做多玻璃空纯碱的套利操作。此外，在没有明显单边驱动的情况下，也可以考虑卖出虚值看跌期权和买入虚值看涨期权进行交易。</w:t>
      </w:r>
    </w:p>
    <w:p>
      <w:r>
        <w:rPr>
          <w:rFonts w:ascii="等线(中文正文)" w:hAnsi="等线(中文正文)" w:cs="等线(中文正文)" w:eastAsia="等线(中文正文)"/>
          <w:b w:val="false"/>
          <w:i w:val="false"/>
          <w:sz w:val="20"/>
        </w:rPr>
        <w:t/>
      </w:r>
    </w:p>
    <w:p>
      <w:pPr>
        <w:pStyle w:val="ab"/>
      </w:pPr>
      <w:r>
        <w:t>您能否分享一下关于商品市场的短期热点，特别是板块轮动特征和波动方向？</w:t>
      </w:r>
    </w:p>
    <w:p>
      <w:r>
        <w:rPr>
          <w:rFonts w:ascii="等线(中文正文)" w:hAnsi="等线(中文正文)" w:cs="等线(中文正文)" w:eastAsia="等线(中文正文)"/>
          <w:b w:val="false"/>
          <w:i w:val="false"/>
          <w:sz w:val="20"/>
        </w:rPr>
        <w:t>发言人1：今年1月至7月，能化板块（以原油为主）波动最大，涨幅超过30%。从年度涨跌幅数据来看，工业品、有色、文化商品指数、农产品呈现出周期性波动特征。其中，16年、20年、21年表现出同时朝一个方向大幅波动的特点。而在24年、25年以及26年1至8月份，有色板块延续了贵金属的上涨趋势，而石油板块和化工板块涨幅显著，农产品板块则相对较小。从长远看，黄金和铜等代表性品种也表现出明显的板块轮动特征。最近十年的数据中，农产品板块有可能接力能化板块，形成补涨态势。</w:t>
      </w:r>
    </w:p>
    <w:p>
      <w:r>
        <w:rPr>
          <w:rFonts w:ascii="等线(中文正文)" w:hAnsi="等线(中文正文)" w:cs="等线(中文正文)" w:eastAsia="等线(中文正文)"/>
          <w:b w:val="false"/>
          <w:i w:val="false"/>
          <w:sz w:val="20"/>
        </w:rPr>
        <w:t/>
      </w:r>
    </w:p>
    <w:p>
      <w:pPr>
        <w:pStyle w:val="ab"/>
      </w:pPr>
      <w:r>
        <w:t>从资金持仓情况看，哪些板块值得关注？</w:t>
      </w:r>
    </w:p>
    <w:p>
      <w:r>
        <w:rPr>
          <w:rFonts w:ascii="等线(中文正文)" w:hAnsi="等线(中文正文)" w:cs="等线(中文正文)" w:eastAsia="等线(中文正文)"/>
          <w:b w:val="false"/>
          <w:i w:val="false"/>
          <w:sz w:val="20"/>
        </w:rPr>
        <w:t>发言人1：资金持仓数据显示，贵金属和有色板块持仓量呈下降趋势，市场分歧减少；而黑色板块和文化板块持仓量大幅增仓，农产品板块持仓量虽略有下降，但资金能量保证金规模有所上升。整体而言，市场分歧点在于文化板块，而农产品板块由于成本传导等因素，可能成为接下来的关注焦点。</w:t>
      </w:r>
    </w:p>
    <w:p>
      <w:r>
        <w:rPr>
          <w:rFonts w:ascii="等线(中文正文)" w:hAnsi="等线(中文正文)" w:cs="等线(中文正文)" w:eastAsia="等线(中文正文)"/>
          <w:b w:val="false"/>
          <w:i w:val="false"/>
          <w:sz w:val="20"/>
        </w:rPr>
        <w:t/>
      </w:r>
    </w:p>
    <w:p>
      <w:pPr>
        <w:pStyle w:val="ab"/>
      </w:pPr>
      <w:r>
        <w:t>宏观经济状况如何影响商品市场，特别是PPI方面？</w:t>
      </w:r>
    </w:p>
    <w:p>
      <w:r>
        <w:rPr>
          <w:rFonts w:ascii="等线(中文正文)" w:hAnsi="等线(中文正文)" w:cs="等线(中文正文)" w:eastAsia="等线(中文正文)"/>
          <w:b w:val="false"/>
          <w:i w:val="false"/>
          <w:sz w:val="20"/>
        </w:rPr>
        <w:t>发言人1：美国二季度GDP增速放缓至1.5%，CPI数据为3.4%，显示出滞涨风险增大。随着货币政策压制和PPI已回到正增长区间，继续做多PPI性价比降低。不过，每个品种因其定价不同，可能会有分化表现。同时，农产品板块因油价上涨而间接支撑其中枢水平，但还需要密切关注供应端边际变化，如天气、化肥等影响因素。</w:t>
      </w:r>
    </w:p>
    <w:p>
      <w:r>
        <w:rPr>
          <w:rFonts w:ascii="等线(中文正文)" w:hAnsi="等线(中文正文)" w:cs="等线(中文正文)" w:eastAsia="等线(中文正文)"/>
          <w:b w:val="false"/>
          <w:i w:val="false"/>
          <w:sz w:val="20"/>
        </w:rPr>
        <w:t/>
      </w:r>
    </w:p>
    <w:p>
      <w:pPr>
        <w:pStyle w:val="ab"/>
      </w:pPr>
      <w:r>
        <w:t>有色市场波动率以及整体商品板块轮动规律如何？</w:t>
      </w:r>
    </w:p>
    <w:p>
      <w:r>
        <w:rPr>
          <w:rFonts w:ascii="等线(中文正文)" w:hAnsi="等线(中文正文)" w:cs="等线(中文正文)" w:eastAsia="等线(中文正文)"/>
          <w:b w:val="false"/>
          <w:i w:val="false"/>
          <w:sz w:val="20"/>
        </w:rPr>
        <w:t>发言人1：今年有色市场波动率受中东地缘问题影响急剧放大，之后逐渐降温。目前工业品板块内部交易矛盾不大，整体上符合一定的板块轮动规律。未来需要重点关注农产品板块，尤其是油价上涨对农产品成本支撑的作用及其能否推动农产品价格上涨。</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2026-08-23T14:14:58Z</dcterms:created>
  <dc:creator>Apache POI</dc:creator>
</cp:coreProperties>
</file>