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招商策略 - 策略周日论策 260823_导读</w:t>
      </w:r>
    </w:p>
    <w:p>
      <w:pPr>
        <w:pStyle w:val="a0"/>
        <w:jc w:val="center"/>
      </w:pPr>
      <w:r>
        <w:t>2026年08月23日 22:07</w:t>
      </w:r>
    </w:p>
    <w:p>
      <w:pPr>
        <w:pStyle w:val="a7"/>
      </w:pPr>
      <w:r>
        <w:t>关键词</w:t>
      </w:r>
    </w:p>
    <w:p>
      <w:r>
        <w:rPr>
          <w:rFonts w:ascii="等线(中文正文)" w:hAnsi="等线(中文正文)" w:cs="等线(中文正文)" w:eastAsia="等线(中文正文)"/>
          <w:b w:val="false"/>
          <w:i w:val="false"/>
          <w:sz w:val="20"/>
        </w:rPr>
        <w:t xml:space="preserve">美债 科技股 估值 市场 AI 资本开支 收益率 修复 成交额 融资 宏观 存储 反弹 情绪 逻辑 定价 趋势 风险 监管 方向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周市场出现显著回调，尤其是科技股遭受重创，尽管产业数据依然正面。市场对美国债务的持续性担忧推动美债利率上行，成为当前市场的主要关注点，美国财政部的政策反应加剧了这一趋势。美债利率的上升反映了市场对流动性问题的担忧，但同时也为结构性机会和避险资产如黄金提供了关注点。A股市场可能因宏观流动性改善面临回调压力，建议关注结构性机会和采取对冲策略应对高波动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市场回调分析与科技方向展望</w:t>
      </w:r>
    </w:p>
    <w:p>
      <w:r>
        <w:rPr>
          <w:rFonts w:ascii="等线(中文正文)" w:hAnsi="等线(中文正文)" w:cs="等线(中文正文)" w:eastAsia="等线(中文正文)"/>
          <w:b w:val="false"/>
          <w:i w:val="false"/>
          <w:sz w:val="20"/>
        </w:rPr>
        <w:t>对话围绕本周市场回调展开，指出科技股成为下跌重灾区，但产业数据仍向好，判定回调为估值调整而非趋势反转。美债利率上行成为市场担忧焦点，后续将有专题讨论。整体判断反弹接近尾声，但结构性机会仍存，建议关注科技方向的短期估值修复机会。</w:t>
      </w:r>
    </w:p>
    <w:p>
      <w:r>
        <w:rPr>
          <w:rFonts w:ascii="等线(中文正文)" w:hAnsi="等线(中文正文)" w:cs="等线(中文正文)" w:eastAsia="等线(中文正文)"/>
          <w:b w:val="false"/>
          <w:i w:val="false"/>
          <w:sz w:val="20"/>
        </w:rPr>
        <w:t/>
      </w:r>
    </w:p>
    <w:p>
      <w:pPr>
        <w:pStyle w:val="ab"/>
        <w:numPr>
          <w:numId w:val="2"/>
        </w:numPr>
      </w:pPr>
      <w:r>
        <w:t>03:04 泉州市场成交额回落与全球美债动态分析</w:t>
      </w:r>
    </w:p>
    <w:p>
      <w:r>
        <w:rPr>
          <w:rFonts w:ascii="等线(中文正文)" w:hAnsi="等线(中文正文)" w:cs="等线(中文正文)" w:eastAsia="等线(中文正文)"/>
          <w:b w:val="false"/>
          <w:i w:val="false"/>
          <w:sz w:val="20"/>
        </w:rPr>
        <w:t>泉州市场成交额首次跌破2万亿，显示市场缩量及风险增大，修复性质偏弱，市场分歧加大。全球宏观方面，美债收益率接近次贷危机高点，财政部扩大回购规模短期稳定债市，但根源问题未解，美债上行由AI资本开支、财政赤字及需求下降三力叠加导致，中国和日本减持美债影响显著。</w:t>
      </w:r>
    </w:p>
    <w:p>
      <w:r>
        <w:rPr>
          <w:rFonts w:ascii="等线(中文正文)" w:hAnsi="等线(中文正文)" w:cs="等线(中文正文)" w:eastAsia="等线(中文正文)"/>
          <w:b w:val="false"/>
          <w:i w:val="false"/>
          <w:sz w:val="20"/>
        </w:rPr>
        <w:t/>
      </w:r>
    </w:p>
    <w:p>
      <w:pPr>
        <w:pStyle w:val="ab"/>
        <w:numPr>
          <w:numId w:val="3"/>
        </w:numPr>
      </w:pPr>
      <w:r>
        <w:t>05:50 AI资本开支债务化拐点与市场影响分析</w:t>
      </w:r>
    </w:p>
    <w:p>
      <w:r>
        <w:rPr>
          <w:rFonts w:ascii="等线(中文正文)" w:hAnsi="等线(中文正文)" w:cs="等线(中文正文)" w:eastAsia="等线(中文正文)"/>
          <w:b w:val="false"/>
          <w:i w:val="false"/>
          <w:sz w:val="20"/>
        </w:rPr>
        <w:t>讨论了AI资本开支从现金流驱动转向债务融资驱动的结构性变化，指出谷歌、Meta等厂商因自由现金流压力采取大规模发债并暂停回购。AI科技股对长端利率敏感度上升，市场面临分子端数据与分母端融资约束同向变化的矛盾。同时提及韩国市场海力士和三星回购事件，强调回购虽可制造单日脉冲，但不足以扭转股价走势。最后，分析了国内宏观政策对A股的影响，认为经济数据偏弱限制了市场修复动力。</w:t>
      </w:r>
    </w:p>
    <w:p>
      <w:r>
        <w:rPr>
          <w:rFonts w:ascii="等线(中文正文)" w:hAnsi="等线(中文正文)" w:cs="等线(中文正文)" w:eastAsia="等线(中文正文)"/>
          <w:b w:val="false"/>
          <w:i w:val="false"/>
          <w:sz w:val="20"/>
        </w:rPr>
        <w:t/>
      </w:r>
    </w:p>
    <w:p>
      <w:pPr>
        <w:pStyle w:val="ab"/>
        <w:numPr>
          <w:numId w:val="4"/>
        </w:numPr>
      </w:pPr>
      <w:r>
        <w:t>09:26 科技股回调与AI资本开支拐点分析</w:t>
      </w:r>
    </w:p>
    <w:p>
      <w:r>
        <w:rPr>
          <w:rFonts w:ascii="等线(中文正文)" w:hAnsi="等线(中文正文)" w:cs="等线(中文正文)" w:eastAsia="等线(中文正文)"/>
          <w:b w:val="false"/>
          <w:i w:val="false"/>
          <w:sz w:val="20"/>
        </w:rPr>
        <w:t>对话讨论了市场回调下科技股尤其是半导体行业的表现，提出‘该强不强’的逻辑判断市场趋势转折，分析AI资本开支拐点对短期估值及中长期趋势的影响，并建议布局不依赖AI标签的半导体细分领域。</w:t>
      </w:r>
    </w:p>
    <w:p>
      <w:r>
        <w:rPr>
          <w:rFonts w:ascii="等线(中文正文)" w:hAnsi="等线(中文正文)" w:cs="等线(中文正文)" w:eastAsia="等线(中文正文)"/>
          <w:b w:val="false"/>
          <w:i w:val="false"/>
          <w:sz w:val="20"/>
        </w:rPr>
        <w:t/>
      </w:r>
    </w:p>
    <w:p>
      <w:pPr>
        <w:pStyle w:val="ab"/>
        <w:numPr>
          <w:numId w:val="5"/>
        </w:numPr>
      </w:pPr>
      <w:r>
        <w:t>12:31 市场风格切换与缩量修复分析</w:t>
      </w:r>
    </w:p>
    <w:p>
      <w:r>
        <w:rPr>
          <w:rFonts w:ascii="等线(中文正文)" w:hAnsi="等线(中文正文)" w:cs="等线(中文正文)" w:eastAsia="等线(中文正文)"/>
          <w:b w:val="false"/>
          <w:i w:val="false"/>
          <w:sz w:val="20"/>
        </w:rPr>
        <w:t>本周市场风格从大票转向小票，成交额持续缩量，A股跌幅超过美股，主要因前期获利盘回调剧烈、科技股超跌反弹而非趋势反转、监管超预期及累积效应导致情绪退潮。缩量修复可能源于抛压枯竭，而非增量资金进场。下周需关注美债企稳与成交额重回2万亿，以及8月27日至29日的美联储政策信号，以判断市场修复是否升级为反转。</w:t>
      </w:r>
    </w:p>
    <w:p>
      <w:r>
        <w:rPr>
          <w:rFonts w:ascii="等线(中文正文)" w:hAnsi="等线(中文正文)" w:cs="等线(中文正文)" w:eastAsia="等线(中文正文)"/>
          <w:b w:val="false"/>
          <w:i w:val="false"/>
          <w:sz w:val="20"/>
        </w:rPr>
        <w:t/>
      </w:r>
    </w:p>
    <w:p>
      <w:pPr>
        <w:pStyle w:val="ab"/>
        <w:numPr>
          <w:numId w:val="6"/>
        </w:numPr>
      </w:pPr>
      <w:r>
        <w:t>15:43 科技与美债影响下的市场分析及投资建议</w:t>
      </w:r>
    </w:p>
    <w:p>
      <w:r>
        <w:rPr>
          <w:rFonts w:ascii="等线(中文正文)" w:hAnsi="等线(中文正文)" w:cs="等线(中文正文)" w:eastAsia="等线(中文正文)"/>
          <w:b w:val="false"/>
          <w:i w:val="false"/>
          <w:sz w:val="20"/>
        </w:rPr>
        <w:t>讨论了科技行业当前的估值与逻辑变化，指出美债对市场斜率的影响，推荐功率半导体和贵金属作为独立供需的涨价线，以及退潮期的递减线作为结构性投资机会，对九月行情持谨慎乐观态度。</w:t>
      </w:r>
    </w:p>
    <w:p>
      <w:r>
        <w:rPr>
          <w:rFonts w:ascii="等线(中文正文)" w:hAnsi="等线(中文正文)" w:cs="等线(中文正文)" w:eastAsia="等线(中文正文)"/>
          <w:b w:val="false"/>
          <w:i w:val="false"/>
          <w:sz w:val="20"/>
        </w:rPr>
        <w:t/>
      </w:r>
    </w:p>
    <w:p>
      <w:pPr>
        <w:pStyle w:val="ab"/>
        <w:numPr>
          <w:numId w:val="7"/>
        </w:numPr>
      </w:pPr>
      <w:r>
        <w:t>18:11 美债利率上行：供需结构与AI债券挤出效应</w:t>
      </w:r>
    </w:p>
    <w:p>
      <w:r>
        <w:rPr>
          <w:rFonts w:ascii="等线(中文正文)" w:hAnsi="等线(中文正文)" w:cs="等线(中文正文)" w:eastAsia="等线(中文正文)"/>
          <w:b w:val="false"/>
          <w:i w:val="false"/>
          <w:sz w:val="20"/>
        </w:rPr>
        <w:t>近期美债利率上行，主要由期限溢价贡献，反映了供需结构变化及AI企业大规模债券发行对国债需求的挤出效应。美债供给稳定，但需求端因海外投资者配置减弱及AI债券供给增加而下降，导致长期资金对国债需求减弱，推高美债利率。</w:t>
      </w:r>
    </w:p>
    <w:p>
      <w:r>
        <w:rPr>
          <w:rFonts w:ascii="等线(中文正文)" w:hAnsi="等线(中文正文)" w:cs="等线(中文正文)" w:eastAsia="等线(中文正文)"/>
          <w:b w:val="false"/>
          <w:i w:val="false"/>
          <w:sz w:val="20"/>
        </w:rPr>
        <w:t/>
      </w:r>
    </w:p>
    <w:p>
      <w:pPr>
        <w:pStyle w:val="ab"/>
        <w:numPr>
          <w:numId w:val="8"/>
        </w:numPr>
      </w:pPr>
      <w:r>
        <w:t>25:58 美债利率上行与财政部政策影响分析</w:t>
      </w:r>
    </w:p>
    <w:p>
      <w:r>
        <w:rPr>
          <w:rFonts w:ascii="等线(中文正文)" w:hAnsi="等线(中文正文)" w:cs="等线(中文正文)" w:eastAsia="等线(中文正文)"/>
          <w:b w:val="false"/>
          <w:i w:val="false"/>
          <w:sz w:val="20"/>
        </w:rPr>
        <w:t>近期美债利率快速上行后，美国财政部发布政策扩大长期国债回购规模，市场初期情绪缓解，但后续美债利率重回上行趋势，显示市场对政策信心不足。财政部政策主要提供局部流动性支持，增加短期债券供给与长期债券需求，但不增加市场总流动性。政策核心在于缓解偿债需求不足，稳定市场情绪。然而，美债利率上行已反映流动性问题及美国债务持续性担忧，中长期影响因素包括通胀、AI债券挤出效应及债务持续性，美债利率或呈现高位波动状态。</w:t>
      </w:r>
    </w:p>
    <w:p>
      <w:r>
        <w:rPr>
          <w:rFonts w:ascii="等线(中文正文)" w:hAnsi="等线(中文正文)" w:cs="等线(中文正文)" w:eastAsia="等线(中文正文)"/>
          <w:b w:val="false"/>
          <w:i w:val="false"/>
          <w:sz w:val="20"/>
        </w:rPr>
        <w:t/>
      </w:r>
    </w:p>
    <w:p>
      <w:pPr>
        <w:pStyle w:val="ab"/>
        <w:numPr>
          <w:numId w:val="9"/>
        </w:numPr>
      </w:pPr>
      <w:r>
        <w:t>32:48 美债利率与AI产业链融资成本的相互影响</w:t>
      </w:r>
    </w:p>
    <w:p>
      <w:r>
        <w:rPr>
          <w:rFonts w:ascii="等线(中文正文)" w:hAnsi="等线(中文正文)" w:cs="等线(中文正文)" w:eastAsia="等线(中文正文)"/>
          <w:b w:val="false"/>
          <w:i w:val="false"/>
          <w:sz w:val="20"/>
        </w:rPr>
        <w:t>讨论了美伊谈判进展缓慢对油价及通胀预期的影响，以及AI大厂持续的资本开支和融资需求对美债利率的挤出效应。AI企业债券CDS利差上行反映了市场对其现金流稳定性的担忧，美债利率上行可能增加AI企业融资成本，影响其资本开支能力，进而对AI产业链基本面产生影响。美债利率走势对市场流动性和AI产业链健康发展至关重要。</w:t>
      </w:r>
    </w:p>
    <w:p>
      <w:r>
        <w:rPr>
          <w:rFonts w:ascii="等线(中文正文)" w:hAnsi="等线(中文正文)" w:cs="等线(中文正文)" w:eastAsia="等线(中文正文)"/>
          <w:b w:val="false"/>
          <w:i w:val="false"/>
          <w:sz w:val="20"/>
        </w:rPr>
        <w:t/>
      </w:r>
    </w:p>
    <w:p>
      <w:pPr>
        <w:pStyle w:val="ab"/>
        <w:numPr>
          <w:numId w:val="10"/>
        </w:numPr>
      </w:pPr>
      <w:r>
        <w:t>37:51 美债利率上行与美元信用担忧分析</w:t>
      </w:r>
    </w:p>
    <w:p>
      <w:r>
        <w:rPr>
          <w:rFonts w:ascii="等线(中文正文)" w:hAnsi="等线(中文正文)" w:cs="等线(中文正文)" w:eastAsia="等线(中文正文)"/>
          <w:b w:val="false"/>
          <w:i w:val="false"/>
          <w:sz w:val="20"/>
        </w:rPr>
        <w:t>对话讨论了美债利率上升、美元信用受损对市场的影响及中长期逻辑，包括美国高额债务和财政赤字问题，以及黄金和A股市场的短期波动与长期趋势。美债利率上行反映了短期流动性变化，但中长期存在美元信用受损担忧，黄金价格受中长期逻辑支撑，A股面临高波动状态，市场风格趋于均衡轮动。</w:t>
      </w:r>
    </w:p>
    <w:p>
      <w:r>
        <w:rPr>
          <w:rFonts w:ascii="等线(中文正文)" w:hAnsi="等线(中文正文)" w:cs="等线(中文正文)" w:eastAsia="等线(中文正文)"/>
          <w:b w:val="false"/>
          <w:i w:val="false"/>
          <w:sz w:val="20"/>
        </w:rPr>
        <w:t/>
      </w:r>
    </w:p>
    <w:p>
      <w:pPr>
        <w:pStyle w:val="ab"/>
        <w:numPr>
          <w:numId w:val="11"/>
        </w:numPr>
      </w:pPr>
      <w:r>
        <w:t>46:42 市场结构与投资策略分析</w:t>
      </w:r>
    </w:p>
    <w:p>
      <w:r>
        <w:rPr>
          <w:rFonts w:ascii="等线(中文正文)" w:hAnsi="等线(中文正文)" w:cs="等线(中文正文)" w:eastAsia="等线(中文正文)"/>
          <w:b w:val="false"/>
          <w:i w:val="false"/>
          <w:sz w:val="20"/>
        </w:rPr>
        <w:t>对话围绕市场结构变化及投资策略展开，强调了AI产业、有色金属及煤炭等领域的投资价值，提出在美债利率高点时关注成长型方向的配置机会，建议平衡风格配置以应对市场波动，为投资者提供策略指导。</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问：本周市场主要在担忧什么？</w:t>
      </w:r>
    </w:p>
    <w:p>
      <w:r>
        <w:rPr>
          <w:rFonts w:ascii="等线(中文正文)" w:hAnsi="等线(中文正文)" w:cs="等线(中文正文)" w:eastAsia="等线(中文正文)"/>
          <w:b w:val="false"/>
          <w:i w:val="false"/>
          <w:sz w:val="20"/>
        </w:rPr>
        <w:t>发言人1 答：本周市场主要担忧的是科技方向的杀估值以及美债利率上行对整体风险资产的影响。虽然科技股出现下跌，但产业数据仍偏向正面，且美债利率上行成为决定性因素。市场对于科技方向的回调更多认为是短期估值调整而非趋势反转，但对美债走势及对市场的影响还需关注。</w:t>
      </w:r>
    </w:p>
    <w:p>
      <w:r>
        <w:rPr>
          <w:rFonts w:ascii="等线(中文正文)" w:hAnsi="等线(中文正文)" w:cs="等线(中文正文)" w:eastAsia="等线(中文正文)"/>
          <w:b w:val="false"/>
          <w:i w:val="false"/>
          <w:sz w:val="20"/>
        </w:rPr>
        <w:t/>
      </w:r>
    </w:p>
    <w:p>
      <w:pPr>
        <w:pStyle w:val="ab"/>
      </w:pPr>
      <w:r>
        <w:t>发言人1 问：对于当前市场量价结构的看法如何？</w:t>
      </w:r>
    </w:p>
    <w:p>
      <w:r>
        <w:rPr>
          <w:rFonts w:ascii="等线(中文正文)" w:hAnsi="等线(中文正文)" w:cs="等线(中文正文)" w:eastAsia="等线(中文正文)"/>
          <w:b w:val="false"/>
          <w:i w:val="false"/>
          <w:sz w:val="20"/>
        </w:rPr>
        <w:t>发言人1 答：目前泉州量价结构连续19个交易日突破2万亿，但在周五成交额跌破2万亿，这是一个负面信号。市场呈现缩量态势，平均成交额缓慢回落，并且在周三暴跌后，周四和周五的修复偏弱，表明修复性质为抛压枯竭而非放量反转。因此，尽管不完全看空市场，但更偏向谨慎，且市场分歧加大，资金摆动幅度也达到本轮反弹以来之最。</w:t>
      </w:r>
    </w:p>
    <w:p>
      <w:r>
        <w:rPr>
          <w:rFonts w:ascii="等线(中文正文)" w:hAnsi="等线(中文正文)" w:cs="等线(中文正文)" w:eastAsia="等线(中文正文)"/>
          <w:b w:val="false"/>
          <w:i w:val="false"/>
          <w:sz w:val="20"/>
        </w:rPr>
        <w:t/>
      </w:r>
    </w:p>
    <w:p>
      <w:pPr>
        <w:pStyle w:val="ab"/>
      </w:pPr>
      <w:r>
        <w:t>发言人1 问：美债对全球股票市场的影响如何？</w:t>
      </w:r>
    </w:p>
    <w:p>
      <w:r>
        <w:rPr>
          <w:rFonts w:ascii="等线(中文正文)" w:hAnsi="等线(中文正文)" w:cs="等线(中文正文)" w:eastAsia="等线(中文正文)"/>
          <w:b w:val="false"/>
          <w:i w:val="false"/>
          <w:sz w:val="20"/>
        </w:rPr>
        <w:t>发言人1 答：美债本周触及5.31%，接近07年次贷危机高点，成为影响全球股票市场的关键因素。财政部宣布将10年至30年期偿债回购规模翻倍，以压制长端融资成本和稳定债市，这一举措在一定程度上起到干预效果，使得30年期美债收益率暂时回落。然而，我们认为这只是金融压制，问题根源未解决，美债对市场的影响可能是暂时压制而非完全消除。</w:t>
      </w:r>
    </w:p>
    <w:p>
      <w:r>
        <w:rPr>
          <w:rFonts w:ascii="等线(中文正文)" w:hAnsi="等线(中文正文)" w:cs="等线(中文正文)" w:eastAsia="等线(中文正文)"/>
          <w:b w:val="false"/>
          <w:i w:val="false"/>
          <w:sz w:val="20"/>
        </w:rPr>
        <w:t/>
      </w:r>
    </w:p>
    <w:p>
      <w:pPr>
        <w:pStyle w:val="ab"/>
      </w:pPr>
      <w:r>
        <w:t>发言人1 问：AI资本开支的变化及其对市场的影响是什么？</w:t>
      </w:r>
    </w:p>
    <w:p>
      <w:r>
        <w:rPr>
          <w:rFonts w:ascii="等线(中文正文)" w:hAnsi="等线(中文正文)" w:cs="等线(中文正文)" w:eastAsia="等线(中文正文)"/>
          <w:b w:val="false"/>
          <w:i w:val="false"/>
          <w:sz w:val="20"/>
        </w:rPr>
        <w:t>发言人1 答：AI资本开支已从金流驱动转向债务融资驱动，预计未来几年将带来大规模债务需求，这对厂商自由现金流造成压力，部分厂商如谷歌和Meta已采取大规模发债并暂停回购股票措施。AI资本开支带来的信贷市场融资需求预计将达3.2万亿美元，这将对整个市场产生深远影响。同时，AI科技股对长期利率的敏感度正在逐步上升，目前面临分子端数据（AI景气度）与分母端融资约束（过高融资成本）同向变化的矛盾，短期内无法判断AI资本开支的具体走向，这成为未来一个月市场的核心矛盾。</w:t>
      </w:r>
    </w:p>
    <w:p>
      <w:r>
        <w:rPr>
          <w:rFonts w:ascii="等线(中文正文)" w:hAnsi="等线(中文正文)" w:cs="等线(中文正文)" w:eastAsia="等线(中文正文)"/>
          <w:b w:val="false"/>
          <w:i w:val="false"/>
          <w:sz w:val="20"/>
        </w:rPr>
        <w:t/>
      </w:r>
    </w:p>
    <w:p>
      <w:pPr>
        <w:pStyle w:val="ab"/>
      </w:pPr>
      <w:r>
        <w:t>发言人1 问：韩国市场本周最重要的事件是什么，以及回购对股票价格有何影响？</w:t>
      </w:r>
    </w:p>
    <w:p>
      <w:r>
        <w:rPr>
          <w:rFonts w:ascii="等线(中文正文)" w:hAnsi="等线(中文正文)" w:cs="等线(中文正文)" w:eastAsia="等线(中文正文)"/>
          <w:b w:val="false"/>
          <w:i w:val="false"/>
          <w:sz w:val="20"/>
        </w:rPr>
        <w:t>发言人1 答：本周韩国市场最重要的事件是海力士和三星的回购。虽然回购当天会导致盘中明显上涨脉冲，但不足以改变整个股票价格走势，回购更多是产业资本对估值的认可，影响的是跌不动的底部而非上涨动力。</w:t>
      </w:r>
    </w:p>
    <w:p>
      <w:r>
        <w:rPr>
          <w:rFonts w:ascii="等线(中文正文)" w:hAnsi="等线(中文正文)" w:cs="等线(中文正文)" w:eastAsia="等线(中文正文)"/>
          <w:b w:val="false"/>
          <w:i w:val="false"/>
          <w:sz w:val="20"/>
        </w:rPr>
        <w:t/>
      </w:r>
    </w:p>
    <w:p>
      <w:pPr>
        <w:pStyle w:val="ab"/>
      </w:pPr>
      <w:r>
        <w:t>发言人1 问：国内宏观层面的情况如何？</w:t>
      </w:r>
    </w:p>
    <w:p>
      <w:r>
        <w:rPr>
          <w:rFonts w:ascii="等线(中文正文)" w:hAnsi="等线(中文正文)" w:cs="等线(中文正文)" w:eastAsia="等线(中文正文)"/>
          <w:b w:val="false"/>
          <w:i w:val="false"/>
          <w:sz w:val="20"/>
        </w:rPr>
        <w:t>发言人1 答：国内宏观方面主要是财政加码相关内需方向，但七月经济数据整体偏弱，尤其是房地产投资数据。因此，尽管政策有托底预期，但数据偏弱意味着A股修复动力有限，本轮反弹被定位为弱反弹。</w:t>
      </w:r>
    </w:p>
    <w:p>
      <w:r>
        <w:rPr>
          <w:rFonts w:ascii="等线(中文正文)" w:hAnsi="等线(中文正文)" w:cs="等线(中文正文)" w:eastAsia="等线(中文正文)"/>
          <w:b w:val="false"/>
          <w:i w:val="false"/>
          <w:sz w:val="20"/>
        </w:rPr>
        <w:t/>
      </w:r>
    </w:p>
    <w:p>
      <w:pPr>
        <w:pStyle w:val="ab"/>
      </w:pPr>
      <w:r>
        <w:t>发言人1 问：主线演进方面有哪些逻辑？</w:t>
      </w:r>
    </w:p>
    <w:p>
      <w:r>
        <w:rPr>
          <w:rFonts w:ascii="等线(中文正文)" w:hAnsi="等线(中文正文)" w:cs="等线(中文正文)" w:eastAsia="等线(中文正文)"/>
          <w:b w:val="false"/>
          <w:i w:val="false"/>
          <w:sz w:val="20"/>
        </w:rPr>
        <w:t>发言人1 答：上周提到的分歧选主线策略并不适用当前市场全面回调的情况。从强转弱或弱转强的表现来看，龙头股的走势可以作为判断主线是否退潮或仅是短期回调的依据。</w:t>
      </w:r>
    </w:p>
    <w:p>
      <w:r>
        <w:rPr>
          <w:rFonts w:ascii="等线(中文正文)" w:hAnsi="等线(中文正文)" w:cs="等线(中文正文)" w:eastAsia="等线(中文正文)"/>
          <w:b w:val="false"/>
          <w:i w:val="false"/>
          <w:sz w:val="20"/>
        </w:rPr>
        <w:t/>
      </w:r>
    </w:p>
    <w:p>
      <w:pPr>
        <w:pStyle w:val="ab"/>
      </w:pPr>
      <w:r>
        <w:t>发言人1 问：对于AI资本开支债务化的问题，短期和中长期有何不同影响？</w:t>
      </w:r>
    </w:p>
    <w:p>
      <w:r>
        <w:rPr>
          <w:rFonts w:ascii="等线(中文正文)" w:hAnsi="等线(中文正文)" w:cs="等线(中文正文)" w:eastAsia="等线(中文正文)"/>
          <w:b w:val="false"/>
          <w:i w:val="false"/>
          <w:sz w:val="20"/>
        </w:rPr>
        <w:t>发言人1 答：短期AI资本开支过大导致杀估值，而中期则是决定AI趋势能否延续的关键因素。若中长期融资成本持续抬升，AI资本开支收缩将从预期变为现实，对交易策略从杀估值转变为杀逻辑。</w:t>
      </w:r>
    </w:p>
    <w:p>
      <w:r>
        <w:rPr>
          <w:rFonts w:ascii="等线(中文正文)" w:hAnsi="等线(中文正文)" w:cs="等线(中文正文)" w:eastAsia="等线(中文正文)"/>
          <w:b w:val="false"/>
          <w:i w:val="false"/>
          <w:sz w:val="20"/>
        </w:rPr>
        <w:t/>
      </w:r>
    </w:p>
    <w:p>
      <w:pPr>
        <w:pStyle w:val="ab"/>
      </w:pPr>
      <w:r>
        <w:t>发言人1 问：半导体内部的三级切换以及未来布局方向是什么？</w:t>
      </w:r>
    </w:p>
    <w:p>
      <w:r>
        <w:rPr>
          <w:rFonts w:ascii="等线(中文正文)" w:hAnsi="等线(中文正文)" w:cs="等线(中文正文)" w:eastAsia="等线(中文正文)"/>
          <w:b w:val="false"/>
          <w:i w:val="false"/>
          <w:sz w:val="20"/>
        </w:rPr>
        <w:t>发言人1 答：当前处于反弹回落期，下一阶段重点布局的方向是不依赖AI标签和海外映射，具有独立共性逻辑的细分领域，例如功率半导体等。</w:t>
      </w:r>
    </w:p>
    <w:p>
      <w:r>
        <w:rPr>
          <w:rFonts w:ascii="等线(中文正文)" w:hAnsi="等线(中文正文)" w:cs="等线(中文正文)" w:eastAsia="等线(中文正文)"/>
          <w:b w:val="false"/>
          <w:i w:val="false"/>
          <w:sz w:val="20"/>
        </w:rPr>
        <w:t/>
      </w:r>
    </w:p>
    <w:p>
      <w:pPr>
        <w:pStyle w:val="ab"/>
      </w:pPr>
      <w:r>
        <w:t>发言人1 问：缩量下市场的交易逻辑有何变化？</w:t>
      </w:r>
    </w:p>
    <w:p>
      <w:r>
        <w:rPr>
          <w:rFonts w:ascii="等线(中文正文)" w:hAnsi="等线(中文正文)" w:cs="等线(中文正文)" w:eastAsia="等线(中文正文)"/>
          <w:b w:val="false"/>
          <w:i w:val="false"/>
          <w:sz w:val="20"/>
        </w:rPr>
        <w:t>发言人1 答：缩量下，市场更多交易情绪小票而非大票，风格上可能会从大盘风格切换到小票风格，且连板情绪可能会较为有效，但这种行情往往伴随剧烈回落，因此短期内不推荐参与题材股。</w:t>
      </w:r>
    </w:p>
    <w:p>
      <w:r>
        <w:rPr>
          <w:rFonts w:ascii="等线(中文正文)" w:hAnsi="等线(中文正文)" w:cs="等线(中文正文)" w:eastAsia="等线(中文正文)"/>
          <w:b w:val="false"/>
          <w:i w:val="false"/>
          <w:sz w:val="20"/>
        </w:rPr>
        <w:t/>
      </w:r>
    </w:p>
    <w:p>
      <w:pPr>
        <w:pStyle w:val="ab"/>
      </w:pPr>
      <w:r>
        <w:t>发言人1 问：关于本周定价审美，杀估值还是杀逻辑的问题如何判断？</w:t>
      </w:r>
    </w:p>
    <w:p>
      <w:r>
        <w:rPr>
          <w:rFonts w:ascii="等线(中文正文)" w:hAnsi="等线(中文正文)" w:cs="等线(中文正文)" w:eastAsia="等线(中文正文)"/>
          <w:b w:val="false"/>
          <w:i w:val="false"/>
          <w:sz w:val="20"/>
        </w:rPr>
        <w:t>发言人1 答：定价审美上，美债走势对AI叙事有一定影响，若能在07年高点下方企稳，则可能带来杀估值修复；若不能企稳，则可能是杀逻辑的风险提示。</w:t>
      </w:r>
    </w:p>
    <w:p>
      <w:r>
        <w:rPr>
          <w:rFonts w:ascii="等线(中文正文)" w:hAnsi="等线(中文正文)" w:cs="等线(中文正文)" w:eastAsia="等线(中文正文)"/>
          <w:b w:val="false"/>
          <w:i w:val="false"/>
          <w:sz w:val="20"/>
        </w:rPr>
        <w:t/>
      </w:r>
    </w:p>
    <w:p>
      <w:pPr>
        <w:pStyle w:val="ab"/>
      </w:pPr>
      <w:r>
        <w:t>发言人1 问：A股为何跌幅超过美股，以及缩量修复的本质是什么？</w:t>
      </w:r>
    </w:p>
    <w:p>
      <w:r>
        <w:rPr>
          <w:rFonts w:ascii="等线(中文正文)" w:hAnsi="等线(中文正文)" w:cs="等线(中文正文)" w:eastAsia="等线(中文正文)"/>
          <w:b w:val="false"/>
          <w:i w:val="false"/>
          <w:sz w:val="20"/>
        </w:rPr>
        <w:t>发言人1 答：A股跌幅较大原因包括前期涨幅较大导致获利盘丰厚、科技股主要为超跌反弹而非趋势反转、监管超预期影响部分情绪标，以及该强不强的累积效应。缩量修复的本质可能是抛压枯竭而非增量资金进场，后续需关注成交量重回2万亿以及美债在历史高点下方企稳的信号，以判断是否能升级为放量反转。</w:t>
      </w:r>
    </w:p>
    <w:p>
      <w:r>
        <w:rPr>
          <w:rFonts w:ascii="等线(中文正文)" w:hAnsi="等线(中文正文)" w:cs="等线(中文正文)" w:eastAsia="等线(中文正文)"/>
          <w:b w:val="false"/>
          <w:i w:val="false"/>
          <w:sz w:val="20"/>
        </w:rPr>
        <w:t/>
      </w:r>
    </w:p>
    <w:p>
      <w:pPr>
        <w:pStyle w:val="ab"/>
      </w:pPr>
      <w:r>
        <w:t>发言人1 问：在当前市场环境下，科技方向的投资策略是应该侧重于估值还是逻辑？</w:t>
      </w:r>
    </w:p>
    <w:p>
      <w:r>
        <w:rPr>
          <w:rFonts w:ascii="等线(中文正文)" w:hAnsi="等线(中文正文)" w:cs="等线(中文正文)" w:eastAsia="等线(中文正文)"/>
          <w:b w:val="false"/>
          <w:i w:val="false"/>
          <w:sz w:val="20"/>
        </w:rPr>
        <w:t>发言人1 答：目前，科技方向可能更多地需要关注估值，即杀估值而非杀逻辑。未来能否从杀估值转变为杀逻辑，很大程度上取决于美债的表现。目前市场处于左侧阶段，等待趋势明朗，但中期来看，AI资本开支债务化可能是较大的结构性风险，四大云厂商现金流持续恶化。</w:t>
      </w:r>
    </w:p>
    <w:p>
      <w:r>
        <w:rPr>
          <w:rFonts w:ascii="等线(中文正文)" w:hAnsi="等线(中文正文)" w:cs="等线(中文正文)" w:eastAsia="等线(中文正文)"/>
          <w:b w:val="false"/>
          <w:i w:val="false"/>
          <w:sz w:val="20"/>
        </w:rPr>
        <w:t/>
      </w:r>
    </w:p>
    <w:p>
      <w:pPr>
        <w:pStyle w:val="ab"/>
      </w:pPr>
      <w:r>
        <w:t>发言人1 问：针对结构性投资机会，您推荐了哪些方向？</w:t>
      </w:r>
    </w:p>
    <w:p>
      <w:r>
        <w:rPr>
          <w:rFonts w:ascii="等线(中文正文)" w:hAnsi="等线(中文正文)" w:cs="等线(中文正文)" w:eastAsia="等线(中文正文)"/>
          <w:b w:val="false"/>
          <w:i w:val="false"/>
          <w:sz w:val="20"/>
        </w:rPr>
        <w:t>发言人1 答：推荐两个方向：一是独立供需的涨价线，例如功率半导体，因为它不依赖AI标签且在退潮期相对确定；二是退潮期的递减线，其中也包括黄金和贵金属。此外，对于港股，关注资金面、产业端以及指数编制规则变化；同时，创新药和医药方向也是我们持续关注并推荐的重要方向。</w:t>
      </w:r>
    </w:p>
    <w:p>
      <w:r>
        <w:rPr>
          <w:rFonts w:ascii="等线(中文正文)" w:hAnsi="等线(中文正文)" w:cs="等线(中文正文)" w:eastAsia="等线(中文正文)"/>
          <w:b w:val="false"/>
          <w:i w:val="false"/>
          <w:sz w:val="20"/>
        </w:rPr>
        <w:t/>
      </w:r>
    </w:p>
    <w:p>
      <w:pPr>
        <w:pStyle w:val="ab"/>
      </w:pPr>
      <w:r>
        <w:t>发言人1 问：对于未来市场走势的看法是怎样的？</w:t>
      </w:r>
    </w:p>
    <w:p>
      <w:r>
        <w:rPr>
          <w:rFonts w:ascii="等线(中文正文)" w:hAnsi="等线(中文正文)" w:cs="等线(中文正文)" w:eastAsia="等线(中文正文)"/>
          <w:b w:val="false"/>
          <w:i w:val="false"/>
          <w:sz w:val="20"/>
        </w:rPr>
        <w:t>发言人1 答：目前市场反弹已出现回落，下一阶段将更多聚焦于结构性机会，主要关注两条主线——独立供需的涨价线和退潮期的递减线。对于大幅回调的可能性，目前认为较低，整体上持谨慎中性态度。九月份行情因有重大宏观事件落地，依然看好。</w:t>
      </w:r>
    </w:p>
    <w:p>
      <w:r>
        <w:rPr>
          <w:rFonts w:ascii="等线(中文正文)" w:hAnsi="等线(中文正文)" w:cs="等线(中文正文)" w:eastAsia="等线(中文正文)"/>
          <w:b w:val="false"/>
          <w:i w:val="false"/>
          <w:sz w:val="20"/>
        </w:rPr>
        <w:t/>
      </w:r>
    </w:p>
    <w:p>
      <w:pPr>
        <w:pStyle w:val="ab"/>
      </w:pPr>
      <w:r>
        <w:t>发言人1 问：最近美债利率上行背后反映了哪些问题？美债供需结构变化对市场有何影响？</w:t>
      </w:r>
    </w:p>
    <w:p>
      <w:r>
        <w:rPr>
          <w:rFonts w:ascii="等线(中文正文)" w:hAnsi="等线(中文正文)" w:cs="等线(中文正文)" w:eastAsia="等线(中文正文)"/>
          <w:b w:val="false"/>
          <w:i w:val="false"/>
          <w:sz w:val="20"/>
        </w:rPr>
        <w:t>发言人1 答：最近美债利率上行主要反映了实际美债利率上行，尤其是期限溢价的上升，这由美债供需结构变化和风险溢价定价两方面决定。具体而言，短期美国偿债供需结构的变化以及市场对于美国债务可持续性及财政风险的担忧导致了期限溢价的上升。从美债供给端分析，虽然中长期国债拍卖规模相对稳定，但需求端的变化是关键。海外投资者对美债中长期配置金额逐年下降，尤其是私人部门购买规模放缓，官方（如央行）也呈现净卖出状态。同时，科技企业大规模发行融资债券，形成对国债需求的挤出效应，导致机构配置力量边际减弱。</w:t>
      </w:r>
    </w:p>
    <w:p>
      <w:r>
        <w:rPr>
          <w:rFonts w:ascii="等线(中文正文)" w:hAnsi="等线(中文正文)" w:cs="等线(中文正文)" w:eastAsia="等线(中文正文)"/>
          <w:b w:val="false"/>
          <w:i w:val="false"/>
          <w:sz w:val="20"/>
        </w:rPr>
        <w:t/>
      </w:r>
    </w:p>
    <w:p>
      <w:pPr>
        <w:pStyle w:val="ab"/>
      </w:pPr>
      <w:r>
        <w:t>发言人1 问：科技企业发行长期国债的情况如何？</w:t>
      </w:r>
    </w:p>
    <w:p>
      <w:r>
        <w:rPr>
          <w:rFonts w:ascii="等线(中文正文)" w:hAnsi="等线(中文正文)" w:cs="等线(中文正文)" w:eastAsia="等线(中文正文)"/>
          <w:b w:val="false"/>
          <w:i w:val="false"/>
          <w:sz w:val="20"/>
        </w:rPr>
        <w:t>发言人1 答：四大云厂商发行的十年期以上国债规模在最近两年内显著扩张，发行量翻倍增长，显示出科技企业在中长期债券市场中的活跃度提升，并因其较高的收益率吸引了部分配置型资金，进一步加剧了对国债需求的挤出效应。</w:t>
      </w:r>
    </w:p>
    <w:p>
      <w:r>
        <w:rPr>
          <w:rFonts w:ascii="等线(中文正文)" w:hAnsi="等线(中文正文)" w:cs="等线(中文正文)" w:eastAsia="等线(中文正文)"/>
          <w:b w:val="false"/>
          <w:i w:val="false"/>
          <w:sz w:val="20"/>
        </w:rPr>
        <w:t/>
      </w:r>
    </w:p>
    <w:p>
      <w:pPr>
        <w:pStyle w:val="ab"/>
      </w:pPr>
      <w:r>
        <w:t>发言人1 问：达拉斯联储关于AI相关债券发行规模对国债市场的影响是什么？</w:t>
      </w:r>
    </w:p>
    <w:p>
      <w:r>
        <w:rPr>
          <w:rFonts w:ascii="等线(中文正文)" w:hAnsi="等线(中文正文)" w:cs="等线(中文正文)" w:eastAsia="等线(中文正文)"/>
          <w:b w:val="false"/>
          <w:i w:val="false"/>
          <w:sz w:val="20"/>
        </w:rPr>
        <w:t>发言人1 答：按照达拉斯联储的研究，3000亿美元的AI投资级债券发行规模相当于增加了3600亿美元的供给，这可能对国债市场形成明显的挤出效应，导致美国国债需求端减弱，进而推高短期美债利率。</w:t>
      </w:r>
    </w:p>
    <w:p>
      <w:r>
        <w:rPr>
          <w:rFonts w:ascii="等线(中文正文)" w:hAnsi="等线(中文正文)" w:cs="等线(中文正文)" w:eastAsia="等线(中文正文)"/>
          <w:b w:val="false"/>
          <w:i w:val="false"/>
          <w:sz w:val="20"/>
        </w:rPr>
        <w:t/>
      </w:r>
    </w:p>
    <w:p>
      <w:pPr>
        <w:pStyle w:val="ab"/>
      </w:pPr>
      <w:r>
        <w:t>发言人1 问：美国财政部针对当前美债利率上行采取了什么政策？市场反应如何？</w:t>
      </w:r>
    </w:p>
    <w:p>
      <w:r>
        <w:rPr>
          <w:rFonts w:ascii="等线(中文正文)" w:hAnsi="等线(中文正文)" w:cs="等线(中文正文)" w:eastAsia="等线(中文正文)"/>
          <w:b w:val="false"/>
          <w:i w:val="false"/>
          <w:sz w:val="20"/>
        </w:rPr>
        <w:t>发言人1 答：美国财政部宣布从九月份开始将长期国债回购规模上限从20亿美元提高至40亿美元。在政策发布后的第一天，市场情绪有所缓解，11期美债利率回落，黄金价格上涨，股票市场反弹。但随着时间推移，到周五时，美债利率重新回到上行趋势，并未完全接受财政部的政策，市场整体并不乐观，十年期美债利率回升至4.7%以上。</w:t>
      </w:r>
    </w:p>
    <w:p>
      <w:r>
        <w:rPr>
          <w:rFonts w:ascii="等线(中文正文)" w:hAnsi="等线(中文正文)" w:cs="等线(中文正文)" w:eastAsia="等线(中文正文)"/>
          <w:b w:val="false"/>
          <w:i w:val="false"/>
          <w:sz w:val="20"/>
        </w:rPr>
        <w:t/>
      </w:r>
    </w:p>
    <w:p>
      <w:pPr>
        <w:pStyle w:val="ab"/>
      </w:pPr>
      <w:r>
        <w:t>发言人1 问：美国财政部扩大国债回购规模的政策具体是什么操作，对市场有何影响？</w:t>
      </w:r>
    </w:p>
    <w:p>
      <w:r>
        <w:rPr>
          <w:rFonts w:ascii="等线(中文正文)" w:hAnsi="等线(中文正文)" w:cs="等线(中文正文)" w:eastAsia="等线(中文正文)"/>
          <w:b w:val="false"/>
          <w:i w:val="false"/>
          <w:sz w:val="20"/>
        </w:rPr>
        <w:t>发言人1 答：美国财政部计划通过增加短期债券发行来扩大偿债回购规模，以缓解当前市场对偿债需求不足的悲观情绪，提供局部偿债流动性支持。虽然这一政策不会额外增加市场流动性，但有助于改善期限结构，起到稳定长端利率的作用，并释放出政府维护市场稳定的信号，对恐慌情绪起到了缓冲效果。</w:t>
      </w:r>
    </w:p>
    <w:p>
      <w:r>
        <w:rPr>
          <w:rFonts w:ascii="等线(中文正文)" w:hAnsi="等线(中文正文)" w:cs="等线(中文正文)" w:eastAsia="等线(中文正文)"/>
          <w:b w:val="false"/>
          <w:i w:val="false"/>
          <w:sz w:val="20"/>
        </w:rPr>
        <w:t/>
      </w:r>
    </w:p>
    <w:p>
      <w:pPr>
        <w:pStyle w:val="ab"/>
      </w:pPr>
      <w:r>
        <w:t>发言人1 问：当前美债利率上行的原因及未来可能采取的措施有哪些？</w:t>
      </w:r>
    </w:p>
    <w:p>
      <w:r>
        <w:rPr>
          <w:rFonts w:ascii="等线(中文正文)" w:hAnsi="等线(中文正文)" w:cs="等线(中文正文)" w:eastAsia="等线(中文正文)"/>
          <w:b w:val="false"/>
          <w:i w:val="false"/>
          <w:sz w:val="20"/>
        </w:rPr>
        <w:t>发言人1 答：当前美债利率上行主要反映流动性问题，美国政府有工具提供进一步流动性支持。然而，美债利率上行已超越流动性层面，反映出对美国信用及债务持续性的担忧。未来影响美债利率走势的核心因素包括通胀问题、AI债券对美债的挤出效应以及债务持续性担忧。若无实质进展，美债利率可能呈现高位波动状态。</w:t>
      </w:r>
    </w:p>
    <w:p>
      <w:r>
        <w:rPr>
          <w:rFonts w:ascii="等线(中文正文)" w:hAnsi="等线(中文正文)" w:cs="等线(中文正文)" w:eastAsia="等线(中文正文)"/>
          <w:b w:val="false"/>
          <w:i w:val="false"/>
          <w:sz w:val="20"/>
        </w:rPr>
        <w:t/>
      </w:r>
    </w:p>
    <w:p>
      <w:pPr>
        <w:pStyle w:val="ab"/>
      </w:pPr>
      <w:r>
        <w:t>发言人1 问：AI大厂发债需求对美国整体偿债有何影响？未来AI厂商的融资需求情况如何？</w:t>
      </w:r>
    </w:p>
    <w:p>
      <w:r>
        <w:rPr>
          <w:rFonts w:ascii="等线(中文正文)" w:hAnsi="等线(中文正文)" w:cs="等线(中文正文)" w:eastAsia="等线(中文正文)"/>
          <w:b w:val="false"/>
          <w:i w:val="false"/>
          <w:sz w:val="20"/>
        </w:rPr>
        <w:t>发言人1 答：AI大厂的发债需求会带来一个挤出效应，即它们的资本开支持续高速增长，导致现金流问题日益明显，不得不更多依赖对外融资和发债解决资金链压力。最近两年，这些AI厂商债券发行规模明显扩大。为了维持资本开支的持续增长，AI厂商的融资需求将会增加，除非其收入端或现金流有显著改善，并且投资盈利能力得到提升，从而支撑现金流。否则，在资本开支持续扩张阶段，将形成持续的融资需求。</w:t>
      </w:r>
    </w:p>
    <w:p>
      <w:r>
        <w:rPr>
          <w:rFonts w:ascii="等线(中文正文)" w:hAnsi="等线(中文正文)" w:cs="等线(中文正文)" w:eastAsia="等线(中文正文)"/>
          <w:b w:val="false"/>
          <w:i w:val="false"/>
          <w:sz w:val="20"/>
        </w:rPr>
        <w:t/>
      </w:r>
    </w:p>
    <w:p>
      <w:pPr>
        <w:pStyle w:val="ab"/>
      </w:pPr>
      <w:r>
        <w:t>发言人1 问：长端结构性风险和美国AI科技龙头发债有何关联？美债利率上升对AI产业链基本面有何影响？</w:t>
      </w:r>
    </w:p>
    <w:p>
      <w:r>
        <w:rPr>
          <w:rFonts w:ascii="等线(中文正文)" w:hAnsi="等线(中文正文)" w:cs="等线(中文正文)" w:eastAsia="等线(中文正文)"/>
          <w:b w:val="false"/>
          <w:i w:val="false"/>
          <w:sz w:val="20"/>
        </w:rPr>
        <w:t>发言人1 答：美国AI科技龙头发债时，债券CDS利差出现明显上行，反映出市场对于这些企业未来现金流稳定性和资金链条稳定性的担忧。美债利率上行会扰动大厂发债融资成本，同时这些企业的持续融资能力和稳定性也引发了市场担忧。不仅厂商发债导致长端利率上行，增加企业融资成本压力，两者之间存在相互循环和促进的关系。因此，美债利率能否高位回落不仅影响流动性，也关乎整个AI产业链能否持续健康发展。</w:t>
      </w:r>
    </w:p>
    <w:p>
      <w:r>
        <w:rPr>
          <w:rFonts w:ascii="等线(中文正文)" w:hAnsi="等线(中文正文)" w:cs="等线(中文正文)" w:eastAsia="等线(中文正文)"/>
          <w:b w:val="false"/>
          <w:i w:val="false"/>
          <w:sz w:val="20"/>
        </w:rPr>
        <w:t/>
      </w:r>
    </w:p>
    <w:p>
      <w:pPr>
        <w:pStyle w:val="ab"/>
      </w:pPr>
      <w:r>
        <w:t>发言人1 问：美国政府债务持续性风险问题如何影响市场情绪？</w:t>
      </w:r>
    </w:p>
    <w:p>
      <w:r>
        <w:rPr>
          <w:rFonts w:ascii="等线(中文正文)" w:hAnsi="等线(中文正文)" w:cs="等线(中文正文)" w:eastAsia="等线(中文正文)"/>
          <w:b w:val="false"/>
          <w:i w:val="false"/>
          <w:sz w:val="20"/>
        </w:rPr>
        <w:t>发言人1 答：尽管美国债持续性风险短期内不会发生违约，但每次利率上行时都会引起对该问题的情绪扰动。目前美国政府利息支出占财政收入的比例已达到历史高位，高额债务带来付息压力，这也是对美国高赤字和债务可持续性担忧的原因之一。</w:t>
      </w:r>
    </w:p>
    <w:p>
      <w:r>
        <w:rPr>
          <w:rFonts w:ascii="等线(中文正文)" w:hAnsi="等线(中文正文)" w:cs="等线(中文正文)" w:eastAsia="等线(中文正文)"/>
          <w:b w:val="false"/>
          <w:i w:val="false"/>
          <w:sz w:val="20"/>
        </w:rPr>
        <w:t/>
      </w:r>
    </w:p>
    <w:p>
      <w:pPr>
        <w:pStyle w:val="ab"/>
      </w:pPr>
      <w:r>
        <w:t>发言人1 问：近期美元指数下跌与美债利率上行有何关系？目前美债利率上行背后的主要因素是什么？</w:t>
      </w:r>
    </w:p>
    <w:p>
      <w:r>
        <w:rPr>
          <w:rFonts w:ascii="等线(中文正文)" w:hAnsi="等线(中文正文)" w:cs="等线(中文正文)" w:eastAsia="等线(中文正文)"/>
          <w:b w:val="false"/>
          <w:i w:val="false"/>
          <w:sz w:val="20"/>
        </w:rPr>
        <w:t>发言人1 答：本轮美债利率上升过程中，美元指数并未跟随上涨，反而下降，反映出大家对于美国未来财政赤字、持续融资规模扩大的担忧，导致美元信用出现问题。这使得美元指数下跌，对美债中长期走势形成明显约束。美债利率上行主要反映了短期流动性变化。虽然贝森特宣布的政策一定程度上缓解了流动性问题，但同时也加剧了市场对于美国发债融资规模扩张的担忧，使得美债利率再次反弹。中长期问题未能短期有效解决，通胀预期若能明显回落可能会引导美债利率下降，但在近期或未来一段时间内，美债利率可能仍将保持高位波动状态，甚至不排除进一步冲高。</w:t>
      </w:r>
    </w:p>
    <w:p>
      <w:r>
        <w:rPr>
          <w:rFonts w:ascii="等线(中文正文)" w:hAnsi="等线(中文正文)" w:cs="等线(中文正文)" w:eastAsia="等线(中文正文)"/>
          <w:b w:val="false"/>
          <w:i w:val="false"/>
          <w:sz w:val="20"/>
        </w:rPr>
        <w:t/>
      </w:r>
    </w:p>
    <w:p>
      <w:pPr>
        <w:pStyle w:val="ab"/>
      </w:pPr>
      <w:r>
        <w:t>发言人1 问：如果美国财政部采取更大力度的政策以解决流动性问题，这将如何影响市场？</w:t>
      </w:r>
    </w:p>
    <w:p>
      <w:r>
        <w:rPr>
          <w:rFonts w:ascii="等线(中文正文)" w:hAnsi="等线(中文正文)" w:cs="等线(中文正文)" w:eastAsia="等线(中文正文)"/>
          <w:b w:val="false"/>
          <w:i w:val="false"/>
          <w:sz w:val="20"/>
        </w:rPr>
        <w:t>发言人1 答：如果美国财政部采取更大力度的政策来解决流动性问题，理论上是能够解决该问题的。在这个过程中，尽管可能对市场造成一定影响，但也会为投资者提供低位配置的机会。对于黄金市场，其近期上涨反映了中长期逻辑，即美元信用受损以及全球储备资产重构，这些因素在未来中长期将继续支撑美元并利好黄金。</w:t>
      </w:r>
    </w:p>
    <w:p>
      <w:r>
        <w:rPr>
          <w:rFonts w:ascii="等线(中文正文)" w:hAnsi="等线(中文正文)" w:cs="等线(中文正文)" w:eastAsia="等线(中文正文)"/>
          <w:b w:val="false"/>
          <w:i w:val="false"/>
          <w:sz w:val="20"/>
        </w:rPr>
        <w:t/>
      </w:r>
    </w:p>
    <w:p>
      <w:pPr>
        <w:pStyle w:val="ab"/>
      </w:pPr>
      <w:r>
        <w:t>发言人1 问：目前黄金市场的波动主要由哪些因素驱动？</w:t>
      </w:r>
    </w:p>
    <w:p>
      <w:r>
        <w:rPr>
          <w:rFonts w:ascii="等线(中文正文)" w:hAnsi="等线(中文正文)" w:cs="等线(中文正文)" w:eastAsia="等线(中文正文)"/>
          <w:b w:val="false"/>
          <w:i w:val="false"/>
          <w:sz w:val="20"/>
        </w:rPr>
        <w:t>发言人1 答：目前黄金市场的高波动状态主要受到流动性变化的影响。近期市场在交易美元信用受损，而8月以来黄金反弹更多基于流动性改善的逻辑。随着流动性的反复变化及获利盘积累，资金可能进行兑现行为，导致黄金价格在当前位置呈现高波动状态。</w:t>
      </w:r>
    </w:p>
    <w:p>
      <w:r>
        <w:rPr>
          <w:rFonts w:ascii="等线(中文正文)" w:hAnsi="等线(中文正文)" w:cs="等线(中文正文)" w:eastAsia="等线(中文正文)"/>
          <w:b w:val="false"/>
          <w:i w:val="false"/>
          <w:sz w:val="20"/>
        </w:rPr>
        <w:t/>
      </w:r>
    </w:p>
    <w:p>
      <w:pPr>
        <w:pStyle w:val="ab"/>
      </w:pPr>
      <w:r>
        <w:t>发言人1 问：从长期投资角度来看，黄金是否处于底部位置？对于A股市场又该如何看待？</w:t>
      </w:r>
    </w:p>
    <w:p>
      <w:r>
        <w:rPr>
          <w:rFonts w:ascii="等线(中文正文)" w:hAnsi="等线(中文正文)" w:cs="等线(中文正文)" w:eastAsia="等线(中文正文)"/>
          <w:b w:val="false"/>
          <w:i w:val="false"/>
          <w:sz w:val="20"/>
        </w:rPr>
        <w:t>发言人1 答：如果美元和黄金回到前期低点位置，可能意味着处于中周期底部，可以考虑逢低配置。而对于A股市场，8月以来的反弹主要是由宏观流动性改善驱动，随着美债利率上升形态的出现，这种反弹已经告一段落。未来市场将面临美债利率上行、地缘政治风险以及中报业绩披露等扰动因素，预计下周市场波动会更为明显，整体风格将更加均衡和轮动。</w:t>
      </w:r>
    </w:p>
    <w:p>
      <w:r>
        <w:rPr>
          <w:rFonts w:ascii="等线(中文正文)" w:hAnsi="等线(中文正文)" w:cs="等线(中文正文)" w:eastAsia="等线(中文正文)"/>
          <w:b w:val="false"/>
          <w:i w:val="false"/>
          <w:sz w:val="20"/>
        </w:rPr>
        <w:t/>
      </w:r>
    </w:p>
    <w:p>
      <w:pPr>
        <w:pStyle w:val="ab"/>
      </w:pPr>
      <w:r>
        <w:t>发言人1 问：在当前市场环境下，应该如何配置资产并寻找结构性主线？</w:t>
      </w:r>
    </w:p>
    <w:p>
      <w:r>
        <w:rPr>
          <w:rFonts w:ascii="等线(中文正文)" w:hAnsi="等线(中文正文)" w:cs="等线(中文正文)" w:eastAsia="等线(中文正文)"/>
          <w:b w:val="false"/>
          <w:i w:val="false"/>
          <w:sz w:val="20"/>
        </w:rPr>
        <w:t>发言人1 答：在市场结构表现与业绩相关性提升的背景下，应关注具有业绩支撑的结构性主线方向，如AI相关的产业，因其基本面稳定且预期持续高增长。同时，有色金属和煤炭等高股息红利资产也可作为对冲配置。在风格配置上，需要做到平衡，以适应市场的轮动特征。</w:t>
      </w:r>
    </w:p>
    <w:p>
      <w:r>
        <w:rPr>
          <w:rFonts w:ascii="等线(中文正文)" w:hAnsi="等线(中文正文)" w:cs="等线(中文正文)" w:eastAsia="等线(中文正文)"/>
          <w:b w:val="false"/>
          <w:i w:val="false"/>
          <w:sz w:val="20"/>
        </w:rPr>
        <w:t/>
      </w:r>
    </w:p>
    <w:p>
      <w:pPr>
        <w:pStyle w:val="ab"/>
      </w:pPr>
      <w:r>
        <w:t>发言人1 问：若美债利率进一步升高，会对市场带来什么机会？</w:t>
      </w:r>
    </w:p>
    <w:p>
      <w:r>
        <w:rPr>
          <w:rFonts w:ascii="等线(中文正文)" w:hAnsi="等线(中文正文)" w:cs="等线(中文正文)" w:eastAsia="等线(中文正文)"/>
          <w:b w:val="false"/>
          <w:i w:val="false"/>
          <w:sz w:val="20"/>
        </w:rPr>
        <w:t>发言人1 答：若美债利率升至高位，如十年期国债收益率达到较高水平，这将为美国政策提供更多支持空间。在这种极端情况下，对于市场而言，成长类资产可能会有更好的配置机会，因为历史上每当美债利率上升后流动性预期缓解，成长方向如创业板指等表现较好。因此，在极端压力下，成长类资产可能会出现较好的买入时机。</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2026-08-23T14:14:42Z</dcterms:created>
  <dc:creator>Apache POI</dc:creator>
</cp:coreProperties>
</file>