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第4篇章：民生普惠（下）——2026世界机器人大会 260822_导读</w:t>
      </w:r>
    </w:p>
    <w:p>
      <w:pPr>
        <w:pStyle w:val="a0"/>
        <w:jc w:val="center"/>
      </w:pPr>
      <w:r>
        <w:t>2026年08月23日 11:07</w:t>
      </w:r>
    </w:p>
    <w:p>
      <w:pPr>
        <w:pStyle w:val="a7"/>
      </w:pPr>
      <w:r>
        <w:t>关键词</w:t>
      </w:r>
    </w:p>
    <w:p>
      <w:r>
        <w:rPr>
          <w:rFonts w:ascii="等线(中文正文)" w:hAnsi="等线(中文正文)" w:cs="等线(中文正文)" w:eastAsia="等线(中文正文)"/>
          <w:b w:val="false"/>
          <w:i w:val="false"/>
          <w:sz w:val="20"/>
        </w:rPr>
        <w:t xml:space="preserve">具身人工智能 人形机器人 可穿戴机器人 遥操作 康复应用 Exoskeleton 工业自动化 气动技术 气动元器件 集成电路 半导体 新能源产业 锂电光伏 机器人产业 不确定性 国际局势 疫情 俄乌战争 韧性 自动化产业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次对话涵盖了机器人技术的多个方面，着重讨论了中国在新能源汽车和手机产业的发展对机器人硬件生产和制造供应链的积极影响。特别强调了机器人生产线的进展，包括产能提升和自产机器人应用，展示了持续改进和创新提升效率和质量。报告展望了未来可能达到的全球规模最大、品质最高的生产线，并强调了机器人技术在工业、公共服务和家庭服务中的重要性。此外，对话还涉及了机器人技术与艺术融合的新方式，以及对于机器人技术未来发展的创新思考和规划，突出了开放合作的重要性。整体上，这次对话反映了中国机器人技术的快速发展和对未来应用场景的前瞻性思考，同时也涉及了先进机器人研究、工业自动化升级和家庭服务机器人的发展，体现了机器人技术在赋能人类、促进产业升级和改善生活品质方面的潜力。</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具身人工智能与康复机器人技术</w:t>
      </w:r>
    </w:p>
    <w:p>
      <w:r>
        <w:rPr>
          <w:rFonts w:ascii="等线(中文正文)" w:hAnsi="等线(中文正文)" w:cs="等线(中文正文)" w:eastAsia="等线(中文正文)"/>
          <w:b w:val="false"/>
          <w:i w:val="false"/>
          <w:sz w:val="20"/>
        </w:rPr>
        <w:t>对话围绕具身人工智能在人形机器人与康复应用领域的最新进展展开，重点介绍了意大利在机器人研究与产业结合方面的努力，特别是外骨骼技术的创新及其在预防职业伤害和康复治疗中的应用。讨论了如何通过人工智能调整外骨骼的力反馈，以实现人机和谐互动，并强调了软机器人技术在适应人体形态和提升康复效果方面的重要性。此外，还提到了轻量化设计在提高康复机器人适应性和治疗效果上的关键作用。</w:t>
      </w:r>
    </w:p>
    <w:p>
      <w:r>
        <w:rPr>
          <w:rFonts w:ascii="等线(中文正文)" w:hAnsi="等线(中文正文)" w:cs="等线(中文正文)" w:eastAsia="等线(中文正文)"/>
          <w:b w:val="false"/>
          <w:i w:val="false"/>
          <w:sz w:val="20"/>
        </w:rPr>
        <w:t/>
      </w:r>
    </w:p>
    <w:p>
      <w:pPr>
        <w:pStyle w:val="ab"/>
        <w:numPr>
          <w:numId w:val="2"/>
        </w:numPr>
      </w:pPr>
      <w:r>
        <w:t>08:21 人形机器人技术在工业应用中的进展与挑战</w:t>
      </w:r>
    </w:p>
    <w:p>
      <w:r>
        <w:rPr>
          <w:rFonts w:ascii="等线(中文正文)" w:hAnsi="等线(中文正文)" w:cs="等线(中文正文)" w:eastAsia="等线(中文正文)"/>
          <w:b w:val="false"/>
          <w:i w:val="false"/>
          <w:sz w:val="20"/>
        </w:rPr>
        <w:t>讨论了人形机器人在危险环境下的远程操控应用，包括力反馈系统的重要性，以及通过数据收集和基础模型训练实现自主操作的进展。强调了触觉感知、操作灵活性、计算效率、安全认证和数据泛化能力对工业应用的关键作用，展示了机器人执行多种任务的潜力。</w:t>
      </w:r>
    </w:p>
    <w:p>
      <w:r>
        <w:rPr>
          <w:rFonts w:ascii="等线(中文正文)" w:hAnsi="等线(中文正文)" w:cs="等线(中文正文)" w:eastAsia="等线(中文正文)"/>
          <w:b w:val="false"/>
          <w:i w:val="false"/>
          <w:sz w:val="20"/>
        </w:rPr>
        <w:t/>
      </w:r>
    </w:p>
    <w:p>
      <w:pPr>
        <w:pStyle w:val="ab"/>
        <w:numPr>
          <w:numId w:val="3"/>
        </w:numPr>
      </w:pPr>
      <w:r>
        <w:t>14:14 触觉反馈技术在机器人与医疗领域的应用</w:t>
      </w:r>
    </w:p>
    <w:p>
      <w:r>
        <w:rPr>
          <w:rFonts w:ascii="等线(中文正文)" w:hAnsi="等线(中文正文)" w:cs="等线(中文正文)" w:eastAsia="等线(中文正文)"/>
          <w:b w:val="false"/>
          <w:i w:val="false"/>
          <w:sz w:val="20"/>
        </w:rPr>
        <w:t>对话讨论了通过人工触觉技术提升机器人操作能力的重要性，包括在精细操作、医疗机器人中的应用，以及远程触觉反馈在医疗诊断中的价值。同时，展示了从基础研究到产品化过程中的创新案例，强调了触觉反馈在拓宽机器人应用边界方面的作用。</w:t>
      </w:r>
    </w:p>
    <w:p>
      <w:r>
        <w:rPr>
          <w:rFonts w:ascii="等线(中文正文)" w:hAnsi="等线(中文正文)" w:cs="等线(中文正文)" w:eastAsia="等线(中文正文)"/>
          <w:b w:val="false"/>
          <w:i w:val="false"/>
          <w:sz w:val="20"/>
        </w:rPr>
        <w:t/>
      </w:r>
    </w:p>
    <w:p>
      <w:pPr>
        <w:pStyle w:val="ab"/>
        <w:numPr>
          <w:numId w:val="4"/>
        </w:numPr>
      </w:pPr>
      <w:r>
        <w:t>20:21 绿色低压数字赋能与机器人产业创新</w:t>
      </w:r>
    </w:p>
    <w:p>
      <w:r>
        <w:rPr>
          <w:rFonts w:ascii="等线(中文正文)" w:hAnsi="等线(中文正文)" w:cs="等线(中文正文)" w:eastAsia="等线(中文正文)"/>
          <w:b w:val="false"/>
          <w:i w:val="false"/>
          <w:sz w:val="20"/>
        </w:rPr>
        <w:t>分享了在工业自动化领域，通过绿色低压技术与数字赋能推动产品创新、技术创新及应用实践的成果。强调了服务全球市场的能力，特别是在集成电路、半导体、新能源及机器人产业的快速发展。提及与大学产学研合作模式，共同研究课题，展现了企业从研发到服务的全面能力。</w:t>
      </w:r>
    </w:p>
    <w:p>
      <w:r>
        <w:rPr>
          <w:rFonts w:ascii="等线(中文正文)" w:hAnsi="等线(中文正文)" w:cs="等线(中文正文)" w:eastAsia="等线(中文正文)"/>
          <w:b w:val="false"/>
          <w:i w:val="false"/>
          <w:sz w:val="20"/>
        </w:rPr>
        <w:t/>
      </w:r>
    </w:p>
    <w:p>
      <w:pPr>
        <w:pStyle w:val="ab"/>
        <w:numPr>
          <w:numId w:val="5"/>
        </w:numPr>
      </w:pPr>
      <w:r>
        <w:t>25:01 面对不确定性加大，公司如何确保供应链安全与产业助力</w:t>
      </w:r>
    </w:p>
    <w:p>
      <w:r>
        <w:rPr>
          <w:rFonts w:ascii="等线(中文正文)" w:hAnsi="等线(中文正文)" w:cs="等线(中文正文)" w:eastAsia="等线(中文正文)"/>
          <w:b w:val="false"/>
          <w:i w:val="false"/>
          <w:sz w:val="20"/>
        </w:rPr>
        <w:t>在当前国际局势不确定性加大的背景下，公司推出业务连续性计划，确保产品供给的安全性和韧性，强调社会责任与产业责任。公司通过产品创新、制造工艺创新和服务体系创新，推动产业发展，特别是在小型化、轻量化、节能和智能化产品方面取得进展。为应对全球供应链挑战，公司积极推进国产化，提升产能，优化供应链布局，建立国内多个生产基地，并在全球范围内扩展生产网络，确保对客户的稳定供给，特别是在高端装备领域的关键零部件配套上。此外，公司通过数字化转型和精益管理，提升效率，增强供应链自主性和韧性，以应对各种风险，确保客户放心使用产品。</w:t>
      </w:r>
    </w:p>
    <w:p>
      <w:r>
        <w:rPr>
          <w:rFonts w:ascii="等线(中文正文)" w:hAnsi="等线(中文正文)" w:cs="等线(中文正文)" w:eastAsia="等线(中文正文)"/>
          <w:b w:val="false"/>
          <w:i w:val="false"/>
          <w:sz w:val="20"/>
        </w:rPr>
        <w:t/>
      </w:r>
    </w:p>
    <w:p>
      <w:pPr>
        <w:pStyle w:val="ab"/>
        <w:numPr>
          <w:numId w:val="6"/>
        </w:numPr>
      </w:pPr>
      <w:r>
        <w:t>31:03 企业数字化转型与绿色制造实践</w:t>
      </w:r>
    </w:p>
    <w:p>
      <w:r>
        <w:rPr>
          <w:rFonts w:ascii="等线(中文正文)" w:hAnsi="等线(中文正文)" w:cs="等线(中文正文)" w:eastAsia="等线(中文正文)"/>
          <w:b w:val="false"/>
          <w:i w:val="false"/>
          <w:sz w:val="20"/>
        </w:rPr>
        <w:t>对话围绕企业数字化转型展开，强调了从精英化到智能化、绿色化的四个发展阶段，以及在工厂制造、运营体系、能源管理、研发等领域的应用。特别指出数字化技术在销售体系中的作用大于制造体系，能有效把握客户需求，创造新价值。同时，企业致力于绿色产品开发、低碳制造，以及客户节能服务，尤其在半导体、新能源汽车、电池产业等领域实现技术创新和产品创新，推动工业自动化和高端装备国产化。</w:t>
      </w:r>
    </w:p>
    <w:p>
      <w:r>
        <w:rPr>
          <w:rFonts w:ascii="等线(中文正文)" w:hAnsi="等线(中文正文)" w:cs="等线(中文正文)" w:eastAsia="等线(中文正文)"/>
          <w:b w:val="false"/>
          <w:i w:val="false"/>
          <w:sz w:val="20"/>
        </w:rPr>
        <w:t/>
      </w:r>
    </w:p>
    <w:p>
      <w:pPr>
        <w:pStyle w:val="ab"/>
        <w:numPr>
          <w:numId w:val="7"/>
        </w:numPr>
      </w:pPr>
      <w:r>
        <w:t>35:28 机器人产业应用与创新：支持自动化升级与巨人机器人发展</w:t>
      </w:r>
    </w:p>
    <w:p>
      <w:r>
        <w:rPr>
          <w:rFonts w:ascii="等线(中文正文)" w:hAnsi="等线(中文正文)" w:cs="等线(中文正文)" w:eastAsia="等线(中文正文)"/>
          <w:b w:val="false"/>
          <w:i w:val="false"/>
          <w:sz w:val="20"/>
        </w:rPr>
        <w:t>对话讨论了机器人产业，特别是产业机器人、协作机器人和巨型机器人在工厂自动化中的应用，以及为提升工厂效率和安全性所进行的产品创新。介绍了通过5G技术、无线技术、高压器管理系统等创新，推动机器人产业的发展。强调了支持巨人机器人产品创新和零部件制造的重要性，以促进机器人走入工厂和现场，替代人力作业。最后提到IMC亚太研发中心的成立，旨在支持中国新兴产业，特别是在机器人领域的技术创新。</w:t>
      </w:r>
    </w:p>
    <w:p>
      <w:r>
        <w:rPr>
          <w:rFonts w:ascii="等线(中文正文)" w:hAnsi="等线(中文正文)" w:cs="等线(中文正文)" w:eastAsia="等线(中文正文)"/>
          <w:b w:val="false"/>
          <w:i w:val="false"/>
          <w:sz w:val="20"/>
        </w:rPr>
        <w:t/>
      </w:r>
    </w:p>
    <w:p>
      <w:pPr>
        <w:pStyle w:val="ab"/>
        <w:numPr>
          <w:numId w:val="8"/>
        </w:numPr>
      </w:pPr>
      <w:r>
        <w:t>40:31 家庭服务机器人：从服务场景切入，积累泛化能力</w:t>
      </w:r>
    </w:p>
    <w:p>
      <w:r>
        <w:rPr>
          <w:rFonts w:ascii="等线(中文正文)" w:hAnsi="等线(中文正文)" w:cs="等线(中文正文)" w:eastAsia="等线(中文正文)"/>
          <w:b w:val="false"/>
          <w:i w:val="false"/>
          <w:sz w:val="20"/>
        </w:rPr>
        <w:t>分享了打造家庭服务机器人的挑战与策略，指出工业场景追求效率与准确率，而家庭场景需高泛化性。提出通过服务场景训练基础模型，逐步适应家庭环境，强调泛化数据的重要性，以实现家庭服务机器人的目标。</w:t>
      </w:r>
    </w:p>
    <w:p>
      <w:r>
        <w:rPr>
          <w:rFonts w:ascii="等线(中文正文)" w:hAnsi="等线(中文正文)" w:cs="等线(中文正文)" w:eastAsia="等线(中文正文)"/>
          <w:b w:val="false"/>
          <w:i w:val="false"/>
          <w:sz w:val="20"/>
        </w:rPr>
        <w:t/>
      </w:r>
    </w:p>
    <w:p>
      <w:pPr>
        <w:pStyle w:val="ab"/>
        <w:numPr>
          <w:numId w:val="9"/>
        </w:numPr>
      </w:pPr>
      <w:r>
        <w:t>44:21 高质量数据生产与模型训练引擎构建</w:t>
      </w:r>
    </w:p>
    <w:p>
      <w:r>
        <w:rPr>
          <w:rFonts w:ascii="等线(中文正文)" w:hAnsi="等线(中文正文)" w:cs="等线(中文正文)" w:eastAsia="等线(中文正文)"/>
          <w:b w:val="false"/>
          <w:i w:val="false"/>
          <w:sz w:val="20"/>
        </w:rPr>
        <w:t>分享了高质量数据生产机制的重要性，强调真实场景采集数据的价值，提出数据质量而非数量优先的原则，并介绍了包含采集、质检、挖掘、标注、训练及评测六大模块的数据引擎架构，以及自动化标注和快速实验优化的能力，旨在驱动模型训练的高效发展。</w:t>
      </w:r>
    </w:p>
    <w:p>
      <w:r>
        <w:rPr>
          <w:rFonts w:ascii="等线(中文正文)" w:hAnsi="等线(中文正文)" w:cs="等线(中文正文)" w:eastAsia="等线(中文正文)"/>
          <w:b w:val="false"/>
          <w:i w:val="false"/>
          <w:sz w:val="20"/>
        </w:rPr>
        <w:t/>
      </w:r>
    </w:p>
    <w:p>
      <w:pPr>
        <w:pStyle w:val="ab"/>
        <w:numPr>
          <w:numId w:val="10"/>
        </w:numPr>
      </w:pPr>
      <w:r>
        <w:t>50:40 模型设计理念与能力导向</w:t>
      </w:r>
    </w:p>
    <w:p>
      <w:r>
        <w:rPr>
          <w:rFonts w:ascii="等线(中文正文)" w:hAnsi="等线(中文正文)" w:cs="等线(中文正文)" w:eastAsia="等线(中文正文)"/>
          <w:b w:val="false"/>
          <w:i w:val="false"/>
          <w:sz w:val="20"/>
        </w:rPr>
        <w:t>讨论了模型设计从能力维度出发的理念，强调了自主决策和理解世界的能力，提出了将更多智能下放到端侧大脑系统的设计思路，以及深层决策理解一体化的训练方法，旨在构建自主智能体。</w:t>
      </w:r>
    </w:p>
    <w:p>
      <w:r>
        <w:rPr>
          <w:rFonts w:ascii="等线(中文正文)" w:hAnsi="等线(中文正文)" w:cs="等线(中文正文)" w:eastAsia="等线(中文正文)"/>
          <w:b w:val="false"/>
          <w:i w:val="false"/>
          <w:sz w:val="20"/>
        </w:rPr>
        <w:t/>
      </w:r>
    </w:p>
    <w:p>
      <w:pPr>
        <w:pStyle w:val="ab"/>
        <w:numPr>
          <w:numId w:val="11"/>
        </w:numPr>
      </w:pPr>
      <w:r>
        <w:t>54:26 机器人家庭服务与交互能力展示</w:t>
      </w:r>
    </w:p>
    <w:p>
      <w:r>
        <w:rPr>
          <w:rFonts w:ascii="等线(中文正文)" w:hAnsi="等线(中文正文)" w:cs="等线(中文正文)" w:eastAsia="等线(中文正文)"/>
          <w:b w:val="false"/>
          <w:i w:val="false"/>
          <w:sz w:val="20"/>
        </w:rPr>
        <w:t>对话围绕机器人在家庭环境中的服务与交互能力展开，包括桌面清理、物品分类、突发情况应对、理解人类意图、衣物处理、记忆恢复等。机器人展现出接受模糊及图像指令、持续工作、多模态意图理解、环境干扰抗性、力控混合控制及多层次记忆系统的能力，强调了机器人端侧能力提升与闭环控制的重要性。</w:t>
      </w:r>
    </w:p>
    <w:p>
      <w:r>
        <w:rPr>
          <w:rFonts w:ascii="等线(中文正文)" w:hAnsi="等线(中文正文)" w:cs="等线(中文正文)" w:eastAsia="等线(中文正文)"/>
          <w:b w:val="false"/>
          <w:i w:val="false"/>
          <w:sz w:val="20"/>
        </w:rPr>
        <w:t/>
      </w:r>
    </w:p>
    <w:p>
      <w:pPr>
        <w:pStyle w:val="ab"/>
        <w:numPr>
          <w:numId w:val="12"/>
        </w:numPr>
      </w:pPr>
      <w:r>
        <w:t>59:19 家庭机器人的设计理念与挑战</w:t>
      </w:r>
    </w:p>
    <w:p>
      <w:r>
        <w:rPr>
          <w:rFonts w:ascii="等线(中文正文)" w:hAnsi="等线(中文正文)" w:cs="等线(中文正文)" w:eastAsia="等线(中文正文)"/>
          <w:b w:val="false"/>
          <w:i w:val="false"/>
          <w:sz w:val="20"/>
        </w:rPr>
        <w:t>对话围绕家庭机器人的设计理念展开，强调了机器人应融入家庭环境，设计需亲和且不侵入生活。同时指出，家庭机器人需理解人意图、应对环境变化并可靠完成任务，还需解决隐私、安全及伦理问题。行业需共同努力，推动机器人走进千家万户。</w:t>
      </w:r>
    </w:p>
    <w:p>
      <w:r>
        <w:rPr>
          <w:rFonts w:ascii="等线(中文正文)" w:hAnsi="等线(中文正文)" w:cs="等线(中文正文)" w:eastAsia="等线(中文正文)"/>
          <w:b w:val="false"/>
          <w:i w:val="false"/>
          <w:sz w:val="20"/>
        </w:rPr>
        <w:t/>
      </w:r>
    </w:p>
    <w:p>
      <w:pPr>
        <w:pStyle w:val="ab"/>
        <w:numPr>
          <w:numId w:val="13"/>
        </w:numPr>
      </w:pPr>
      <w:r>
        <w:t>01:01:01 算法与基础设施协同演进赋能普惠智能</w:t>
      </w:r>
    </w:p>
    <w:p>
      <w:r>
        <w:rPr>
          <w:rFonts w:ascii="等线(中文正文)" w:hAnsi="等线(中文正文)" w:cs="等线(中文正文)" w:eastAsia="等线(中文正文)"/>
          <w:b w:val="false"/>
          <w:i w:val="false"/>
          <w:sz w:val="20"/>
        </w:rPr>
        <w:t>报告探讨了人工智能发展各阶段对算法、算力、数据的需求变化，特别是在大语言模型时代，算力和数据基础设施的指数级需求带来的挑战。提出构建面向具身智能的端云协同基础设施，以支持物理世界中AI的持续迭代与能力提升，强调了软件和数据基础设施在物理世界应用中的重要性。</w:t>
      </w:r>
    </w:p>
    <w:p>
      <w:r>
        <w:rPr>
          <w:rFonts w:ascii="等线(中文正文)" w:hAnsi="等线(中文正文)" w:cs="等线(中文正文)" w:eastAsia="等线(中文正文)"/>
          <w:b w:val="false"/>
          <w:i w:val="false"/>
          <w:sz w:val="20"/>
        </w:rPr>
        <w:t/>
      </w:r>
    </w:p>
    <w:p>
      <w:pPr>
        <w:pStyle w:val="ab"/>
        <w:numPr>
          <w:numId w:val="14"/>
        </w:numPr>
      </w:pPr>
      <w:r>
        <w:t>01:10:24 开源强化学习框架助力智能机器人产业落地</w:t>
      </w:r>
    </w:p>
    <w:p>
      <w:r>
        <w:rPr>
          <w:rFonts w:ascii="等线(中文正文)" w:hAnsi="等线(中文正文)" w:cs="等线(中文正文)" w:eastAsia="等线(中文正文)"/>
          <w:b w:val="false"/>
          <w:i w:val="false"/>
          <w:sz w:val="20"/>
        </w:rPr>
        <w:t>过去三年，团队开发了一套面向大规模具身强化学习的开源框架，打通了用户层至硬件层，将GPU与机器人视为关键部件进行统一管理与调度。该框架支持多种调度模式，兼容主流具身模型与算法，以及各类仿真器，实现了全异步流水线处理。在产业应用方面，该框架显著提升了智能机器人在3C产业的成功率，从出厂时的低准确率提升至接近百分之百，且通过多机器协同训练大幅缩短收敛时间。同时，框架支持英伟达及国产芯片，实现了端侧低延时、低功耗、高准确率的模型部署，推动了软件体系的完善。</w:t>
      </w:r>
    </w:p>
    <w:p>
      <w:r>
        <w:rPr>
          <w:rFonts w:ascii="等线(中文正文)" w:hAnsi="等线(中文正文)" w:cs="等线(中文正文)" w:eastAsia="等线(中文正文)"/>
          <w:b w:val="false"/>
          <w:i w:val="false"/>
          <w:sz w:val="20"/>
        </w:rPr>
        <w:t/>
      </w:r>
    </w:p>
    <w:p>
      <w:pPr>
        <w:pStyle w:val="ab"/>
        <w:numPr>
          <w:numId w:val="15"/>
        </w:numPr>
      </w:pPr>
      <w:r>
        <w:t>01:15:40 具身智能领域数据采集与处理的挑战与进展</w:t>
      </w:r>
    </w:p>
    <w:p>
      <w:r>
        <w:rPr>
          <w:rFonts w:ascii="等线(中文正文)" w:hAnsi="等线(中文正文)" w:cs="等线(中文正文)" w:eastAsia="等线(中文正文)"/>
          <w:b w:val="false"/>
          <w:i w:val="false"/>
          <w:sz w:val="20"/>
        </w:rPr>
        <w:t>讨论了具身智能领域内，数据采集与处理管线的重要性，以及与大语言模型相比存在的差距。强调了低成本获取高质量、分布均匀的具身相关数据的行业需求，特别是在研发过程中依赖于特定设备采集的数据。提出了通过优化数据配比、提高数据可用性和降低成本，以及利用仿真、视频和真机数据提升技能生产效率的策略。同时，提及了通过失败数据增强模型训练能力的方法，以及与高校企业合作建立评价体系和平台的举措，以推动技能批量生产技术的研发。</w:t>
      </w:r>
    </w:p>
    <w:p>
      <w:r>
        <w:rPr>
          <w:rFonts w:ascii="等线(中文正文)" w:hAnsi="等线(中文正文)" w:cs="等线(中文正文)" w:eastAsia="等线(中文正文)"/>
          <w:b w:val="false"/>
          <w:i w:val="false"/>
          <w:sz w:val="20"/>
        </w:rPr>
        <w:t/>
      </w:r>
    </w:p>
    <w:p>
      <w:pPr>
        <w:pStyle w:val="ab"/>
        <w:numPr>
          <w:numId w:val="16"/>
        </w:numPr>
      </w:pPr>
      <w:r>
        <w:t>01:20:18 复杂地形自主导航评测体系构建与强化学习应用</w:t>
      </w:r>
    </w:p>
    <w:p>
      <w:r>
        <w:rPr>
          <w:rFonts w:ascii="等线(中文正文)" w:hAnsi="等线(中文正文)" w:cs="等线(中文正文)" w:eastAsia="等线(中文正文)"/>
          <w:b w:val="false"/>
          <w:i w:val="false"/>
          <w:sz w:val="20"/>
        </w:rPr>
        <w:t>讨论了复杂环境下自主导航的成功率挑战，提出构建面向复杂地形的统一评测体系，包括原子任务、仿真与实际场地对应，旨在提升基础任务体系与能力谱系。强调强化学习在多机协同中的关键作用，倡导预训练加强化学习的算法范式，呼吁企业与高校合作，推动开源框架与评测体系，共同提升行业能力。</w:t>
      </w:r>
    </w:p>
    <w:p>
      <w:r>
        <w:rPr>
          <w:rFonts w:ascii="等线(中文正文)" w:hAnsi="等线(中文正文)" w:cs="等线(中文正文)" w:eastAsia="等线(中文正文)"/>
          <w:b w:val="false"/>
          <w:i w:val="false"/>
          <w:sz w:val="20"/>
        </w:rPr>
        <w:t/>
      </w:r>
    </w:p>
    <w:p>
      <w:pPr>
        <w:pStyle w:val="ab"/>
        <w:numPr>
          <w:numId w:val="17"/>
        </w:numPr>
      </w:pPr>
      <w:r>
        <w:t>01:22:56 触觉感知技术推动物理AI发展</w:t>
      </w:r>
    </w:p>
    <w:p>
      <w:r>
        <w:rPr>
          <w:rFonts w:ascii="等线(中文正文)" w:hAnsi="等线(中文正文)" w:cs="等线(中文正文)" w:eastAsia="等线(中文正文)"/>
          <w:b w:val="false"/>
          <w:i w:val="false"/>
          <w:sz w:val="20"/>
        </w:rPr>
        <w:t>对话强调了触觉感知在物理AI领域的重要性，认为触觉是实现具身智能的关键，能提供稳定且丰富的物理世界信息。帕西尼公司作为行业先驱，致力于触觉感知技术的量产化，旨在通过触觉组件的全站技术开发，加速物理智能产品的全球市场拓展，构建无限交互可能的未来生态。</w:t>
      </w:r>
    </w:p>
    <w:p>
      <w:r>
        <w:rPr>
          <w:rFonts w:ascii="等线(中文正文)" w:hAnsi="等线(中文正文)" w:cs="等线(中文正文)" w:eastAsia="等线(中文正文)"/>
          <w:b w:val="false"/>
          <w:i w:val="false"/>
          <w:sz w:val="20"/>
        </w:rPr>
        <w:t/>
      </w:r>
    </w:p>
    <w:p>
      <w:pPr>
        <w:pStyle w:val="ab"/>
        <w:numPr>
          <w:numId w:val="18"/>
        </w:numPr>
      </w:pPr>
      <w:r>
        <w:t>01:29:02 自主研发Fuse芯片构建全域物理感知系统</w:t>
      </w:r>
    </w:p>
    <w:p>
      <w:r>
        <w:rPr>
          <w:rFonts w:ascii="等线(中文正文)" w:hAnsi="等线(中文正文)" w:cs="等线(中文正文)" w:eastAsia="等线(中文正文)"/>
          <w:b w:val="false"/>
          <w:i w:val="false"/>
          <w:sz w:val="20"/>
        </w:rPr>
        <w:t>介绍了自主研发的Fuse芯片及其在触觉模组、扭矩力传感器等产品中的应用，强调了芯片的高速检测、类脑编码、双抗可靠性等特性。芯片技术贯穿全身力触觉套件，包括电子皮肤、关节传感器等，实现从指尖到主体的全域感知。该技术首次应用于重型机器人，实现自动动态算法切换，提升数据采集的精度和稳定性。同时，开发了基于Fuse芯片的磁编码器，提供高精度角度检测，支持关节模组的精确控制。</w:t>
      </w:r>
    </w:p>
    <w:p>
      <w:r>
        <w:rPr>
          <w:rFonts w:ascii="等线(中文正文)" w:hAnsi="等线(中文正文)" w:cs="等线(中文正文)" w:eastAsia="等线(中文正文)"/>
          <w:b w:val="false"/>
          <w:i w:val="false"/>
          <w:sz w:val="20"/>
        </w:rPr>
        <w:t/>
      </w:r>
    </w:p>
    <w:p>
      <w:pPr>
        <w:pStyle w:val="ab"/>
        <w:numPr>
          <w:numId w:val="19"/>
        </w:numPr>
      </w:pPr>
      <w:r>
        <w:t>01:33:23 构建全模态数据采集与智能生态体系</w:t>
      </w:r>
    </w:p>
    <w:p>
      <w:r>
        <w:rPr>
          <w:rFonts w:ascii="等线(中文正文)" w:hAnsi="等线(中文正文)" w:cs="等线(中文正文)" w:eastAsia="等线(中文正文)"/>
          <w:b w:val="false"/>
          <w:i w:val="false"/>
          <w:sz w:val="20"/>
        </w:rPr>
        <w:t>对话介绍了通过多元数据同步对齐和物理稀缺多模态感知技术融合，在天津、宿迁、武汉和自贡四大城市部署数据采集系统，旨在将工厂和商店经验转化为数字化产品，推动具身智能发展。系统依托国家标准，生成包括出生证、学位证、身份证和护照在内的证明文件，促进数据跨境交易。与腾讯云、京东云和百度云合作，建立数据云商城，加速基层数据流通。同时，强调触觉感知在构建安全共生秩序中的重要性，致力于机器人能力和执行终端的部署，形成从数据到智能的全节点智能体，支撑聚生智能生态的持续发展。</w:t>
      </w:r>
    </w:p>
    <w:p>
      <w:r>
        <w:rPr>
          <w:rFonts w:ascii="等线(中文正文)" w:hAnsi="等线(中文正文)" w:cs="等线(中文正文)" w:eastAsia="等线(中文正文)"/>
          <w:b w:val="false"/>
          <w:i w:val="false"/>
          <w:sz w:val="20"/>
        </w:rPr>
        <w:t/>
      </w:r>
    </w:p>
    <w:p>
      <w:pPr>
        <w:pStyle w:val="ab"/>
        <w:numPr>
          <w:numId w:val="20"/>
        </w:numPr>
      </w:pPr>
      <w:r>
        <w:t>01:37:24 全球首创触觉传感器技术及其应用</w:t>
      </w:r>
    </w:p>
    <w:p>
      <w:r>
        <w:rPr>
          <w:rFonts w:ascii="等线(中文正文)" w:hAnsi="等线(中文正文)" w:cs="等线(中文正文)" w:eastAsia="等线(中文正文)"/>
          <w:b w:val="false"/>
          <w:i w:val="false"/>
          <w:sz w:val="20"/>
        </w:rPr>
        <w:t>介绍了全球首创的以主体传感器为主的机器人技术，搭载在重型机器人上实现稳定步态感知与地面属性识别，通过持续数据采集强化行走能力。展示了第四代6D触觉芯片在电子皮肤和触觉夹爪上的迭代成果，以及触觉数据采集手套的视觉触觉结合能力。强调了触觉传感器在长时间数据采集中的稳定性和高精度，以及与外部相机的联合硬实时同步功能。提及了与头部客户合作，为全行业提供触觉设备服务，以及通过基金投资和股东资源构建生态，开放场景共享能力，推动智能产业共同体的形成，旨在以感知突破物理边界，开启生产力进化的破晓之际。</w:t>
      </w:r>
    </w:p>
    <w:p>
      <w:r>
        <w:rPr>
          <w:rFonts w:ascii="等线(中文正文)" w:hAnsi="等线(中文正文)" w:cs="等线(中文正文)" w:eastAsia="等线(中文正文)"/>
          <w:b w:val="false"/>
          <w:i w:val="false"/>
          <w:sz w:val="20"/>
        </w:rPr>
        <w:t/>
      </w:r>
    </w:p>
    <w:p>
      <w:pPr>
        <w:pStyle w:val="ab"/>
        <w:numPr>
          <w:numId w:val="21"/>
        </w:numPr>
      </w:pPr>
      <w:r>
        <w:t>01:42:34 AI与农业：开启作物本位的新时代</w:t>
      </w:r>
    </w:p>
    <w:p>
      <w:r>
        <w:rPr>
          <w:rFonts w:ascii="等线(中文正文)" w:hAnsi="等线(中文正文)" w:cs="等线(中文正文)" w:eastAsia="等线(中文正文)"/>
          <w:b w:val="false"/>
          <w:i w:val="false"/>
          <w:sz w:val="20"/>
        </w:rPr>
        <w:t>对话围绕AI在农业领域的应用展开，强调了农业AI的核心是以作物为本，通过智能化手段解决农业面临的挑战，如人口老龄化、极端天气频发等。通过构建农业垂类大模型，为农业装备提供智能决策支持，实现作物需求与环境匹配，推动农业向智能化、精准化转型。同时，回顾了科技革命对农业的影响，指出第五次科技革命的关键在于让机器具备智能，从而更好地服务于作物生长。</w:t>
      </w:r>
    </w:p>
    <w:p>
      <w:r>
        <w:rPr>
          <w:rFonts w:ascii="等线(中文正文)" w:hAnsi="等线(中文正文)" w:cs="等线(中文正文)" w:eastAsia="等线(中文正文)"/>
          <w:b w:val="false"/>
          <w:i w:val="false"/>
          <w:sz w:val="20"/>
        </w:rPr>
        <w:t/>
      </w:r>
    </w:p>
    <w:p>
      <w:pPr>
        <w:pStyle w:val="ab"/>
        <w:numPr>
          <w:numId w:val="22"/>
        </w:numPr>
      </w:pPr>
      <w:r>
        <w:t>01:49:06 AI与机器人技术在农业领域的革新潜力</w:t>
      </w:r>
    </w:p>
    <w:p>
      <w:r>
        <w:rPr>
          <w:rFonts w:ascii="等线(中文正文)" w:hAnsi="等线(中文正文)" w:cs="等线(中文正文)" w:eastAsia="等线(中文正文)"/>
          <w:b w:val="false"/>
          <w:i w:val="false"/>
          <w:sz w:val="20"/>
        </w:rPr>
        <w:t>对话探讨了AI和机器人技术在农业领域的应用前景，指出农业因后发优势、理论与实践差距及成本平衡机制，成为AI技术革新的重要领域。农业对新技术的需求、人口结构变化带来的挑战以及庞大的市场空间，使得农业成为机器人技术规模化应用的首选行业，有望实现单台过千量的规模化交付。</w:t>
      </w:r>
    </w:p>
    <w:p>
      <w:r>
        <w:rPr>
          <w:rFonts w:ascii="等线(中文正文)" w:hAnsi="等线(中文正文)" w:cs="等线(中文正文)" w:eastAsia="等线(中文正文)"/>
          <w:b w:val="false"/>
          <w:i w:val="false"/>
          <w:sz w:val="20"/>
        </w:rPr>
        <w:t/>
      </w:r>
    </w:p>
    <w:p>
      <w:pPr>
        <w:pStyle w:val="ab"/>
        <w:numPr>
          <w:numId w:val="23"/>
        </w:numPr>
      </w:pPr>
      <w:r>
        <w:t>01:54:33 农业机器人市场增长与需求分析</w:t>
      </w:r>
    </w:p>
    <w:p>
      <w:r>
        <w:rPr>
          <w:rFonts w:ascii="等线(中文正文)" w:hAnsi="等线(中文正文)" w:cs="等线(中文正文)" w:eastAsia="等线(中文正文)"/>
          <w:b w:val="false"/>
          <w:i w:val="false"/>
          <w:sz w:val="20"/>
        </w:rPr>
        <w:t>对话围绕农业机器人市场展开，指出全球农业机器人需求激增，尤其是对于橡胶榴莲、棕榈等高经济价值作物的规模化作业需求。过去五年，智能农业装备市场持续高速增长，全球已有七千多个农业机器人案例，且未来三年增长趋势明确。地缘政治和人口结构变化促使各国重视农业自给自足能力，农业机器人市场未来天花板预估达数百亿美元。公司作为行业领导者，致力于提供智能大脑解决方案，联合科研机构和供应链企业，共同推动农业机器人技术发展，解决农业主体实际问题。</w:t>
      </w:r>
    </w:p>
    <w:p>
      <w:r>
        <w:rPr>
          <w:rFonts w:ascii="等线(中文正文)" w:hAnsi="等线(中文正文)" w:cs="等线(中文正文)" w:eastAsia="等线(中文正文)"/>
          <w:b w:val="false"/>
          <w:i w:val="false"/>
          <w:sz w:val="20"/>
        </w:rPr>
        <w:t/>
      </w:r>
    </w:p>
    <w:p>
      <w:pPr>
        <w:pStyle w:val="ab"/>
        <w:numPr>
          <w:numId w:val="24"/>
        </w:numPr>
      </w:pPr>
      <w:r>
        <w:t>01:58:06 农业机器人产业生态构建与合作邀请</w:t>
      </w:r>
    </w:p>
    <w:p>
      <w:r>
        <w:rPr>
          <w:rFonts w:ascii="等线(中文正文)" w:hAnsi="等线(中文正文)" w:cs="等线(中文正文)" w:eastAsia="等线(中文正文)"/>
          <w:b w:val="false"/>
          <w:i w:val="false"/>
          <w:sz w:val="20"/>
        </w:rPr>
        <w:t>对话强调了构建农业机器人产业生态的重要性，已联合20余家头部机器人公司及七家技术供应链伙伴，共同推进农业机器人研发与交付。计划开放组织能力、数据和深度场景，投入研发费用分摊、数据采集场建设及市场开拓，旨在探索高效农业解决方案，诚邀行业专家与企业共同参与，提升农业机器人效率与降低成本。</w:t>
      </w:r>
    </w:p>
    <w:p>
      <w:r>
        <w:rPr>
          <w:rFonts w:ascii="等线(中文正文)" w:hAnsi="等线(中文正文)" w:cs="等线(中文正文)" w:eastAsia="等线(中文正文)"/>
          <w:b w:val="false"/>
          <w:i w:val="false"/>
          <w:sz w:val="20"/>
        </w:rPr>
        <w:t/>
      </w:r>
    </w:p>
    <w:p>
      <w:pPr>
        <w:pStyle w:val="ab"/>
        <w:numPr>
          <w:numId w:val="25"/>
        </w:numPr>
      </w:pPr>
      <w:r>
        <w:t>02:02:48 农业机器人产业发展目标与生态合作展望</w:t>
      </w:r>
    </w:p>
    <w:p>
      <w:r>
        <w:rPr>
          <w:rFonts w:ascii="等线(中文正文)" w:hAnsi="等线(中文正文)" w:cs="等线(中文正文)" w:eastAsia="等线(中文正文)"/>
          <w:b w:val="false"/>
          <w:i w:val="false"/>
          <w:sz w:val="20"/>
        </w:rPr>
        <w:t>分享了农业机器人产业的发展目标，包括短期内完成多个场景POC阶段和批量交付，中期建立农业机器人训练中心并扩大产量，长期实现大规模场景应用和生态链构建。强调了技术革命背景下，中国农业正迎来巨大市场机会，呼吁行业共同解决产业问题，推动农业效率革命。</w:t>
      </w:r>
    </w:p>
    <w:p>
      <w:r>
        <w:rPr>
          <w:rFonts w:ascii="等线(中文正文)" w:hAnsi="等线(中文正文)" w:cs="等线(中文正文)" w:eastAsia="等线(中文正文)"/>
          <w:b w:val="false"/>
          <w:i w:val="false"/>
          <w:sz w:val="20"/>
        </w:rPr>
        <w:t/>
      </w:r>
    </w:p>
    <w:p>
      <w:pPr>
        <w:pStyle w:val="ab"/>
        <w:numPr>
          <w:numId w:val="26"/>
        </w:numPr>
      </w:pPr>
      <w:r>
        <w:t>02:05:57 类脑架构驱动具身智能进化</w:t>
      </w:r>
    </w:p>
    <w:p>
      <w:r>
        <w:rPr>
          <w:rFonts w:ascii="等线(中文正文)" w:hAnsi="等线(中文正文)" w:cs="等线(中文正文)" w:eastAsia="等线(中文正文)"/>
          <w:b w:val="false"/>
          <w:i w:val="false"/>
          <w:sz w:val="20"/>
        </w:rPr>
        <w:t>分享了在机器人行业的发展中，通过借鉴人类大脑的神经元设计、动态链接方式及分工合作，提出类脑架构以优化机器人性能。类脑架构的机器人展现毫秒级本能反应、时间序列处理能力、更稳定的运动控制以及超低能耗，显著提升任务成功率与能效比，推动具身智能与通用智能机器人技术进步。</w:t>
      </w:r>
    </w:p>
    <w:p>
      <w:r>
        <w:rPr>
          <w:rFonts w:ascii="等线(中文正文)" w:hAnsi="等线(中文正文)" w:cs="等线(中文正文)" w:eastAsia="等线(中文正文)"/>
          <w:b w:val="false"/>
          <w:i w:val="false"/>
          <w:sz w:val="20"/>
        </w:rPr>
        <w:t/>
      </w:r>
    </w:p>
    <w:p>
      <w:pPr>
        <w:pStyle w:val="ab"/>
        <w:numPr>
          <w:numId w:val="27"/>
        </w:numPr>
      </w:pPr>
      <w:r>
        <w:t>02:14:05 机器人技术的快速反应与真实场景应用</w:t>
      </w:r>
    </w:p>
    <w:p>
      <w:r>
        <w:rPr>
          <w:rFonts w:ascii="等线(中文正文)" w:hAnsi="等线(中文正文)" w:cs="等线(中文正文)" w:eastAsia="等线(中文正文)"/>
          <w:b w:val="false"/>
          <w:i w:val="false"/>
          <w:sz w:val="20"/>
        </w:rPr>
        <w:t>对话强调了机器人技术在直觉反应速度和时序记忆方面的优势，展示了其在生物制药领域的应用进展，并提出了通过真实场景迭代提升智能的策略。同时，分享了产线升级和未来规划，以及对机器人进入半结构化工业服务和公众服务场景的展望。</w:t>
      </w:r>
    </w:p>
    <w:p>
      <w:r>
        <w:rPr>
          <w:rFonts w:ascii="等线(中文正文)" w:hAnsi="等线(中文正文)" w:cs="等线(中文正文)" w:eastAsia="等线(中文正文)"/>
          <w:b w:val="false"/>
          <w:i w:val="false"/>
          <w:sz w:val="20"/>
        </w:rPr>
        <w:t/>
      </w:r>
    </w:p>
    <w:p>
      <w:pPr>
        <w:pStyle w:val="ab"/>
        <w:numPr>
          <w:numId w:val="28"/>
        </w:numPr>
      </w:pPr>
      <w:r>
        <w:t>02:20:15 机器人技术在多场景中的创新应用与展望</w:t>
      </w:r>
    </w:p>
    <w:p>
      <w:r>
        <w:rPr>
          <w:rFonts w:ascii="等线(中文正文)" w:hAnsi="等线(中文正文)" w:cs="等线(中文正文)" w:eastAsia="等线(中文正文)"/>
          <w:b w:val="false"/>
          <w:i w:val="false"/>
          <w:sz w:val="20"/>
        </w:rPr>
        <w:t>对话围绕机器人技术在高端汽车制造、半导体PCB、生物制药等工业场景及公共服务领域的创新应用展开，强调了机器人从工业应用向日常服务的拓展。通过展示机器人在机场、餐饮服务等真实场景中的闭环应用，突出了技术的实用性与学习能力，提出了模型、硬件与场景三者协同对于机器人普及的重要性，展望了机器人服务于千行百业及千家万户的未来愿景。</w:t>
      </w:r>
    </w:p>
    <w:p>
      <w:r>
        <w:rPr>
          <w:rFonts w:ascii="等线(中文正文)" w:hAnsi="等线(中文正文)" w:cs="等线(中文正文)" w:eastAsia="等线(中文正文)"/>
          <w:b w:val="false"/>
          <w:i w:val="false"/>
          <w:sz w:val="20"/>
        </w:rPr>
        <w:t/>
      </w:r>
    </w:p>
    <w:p>
      <w:pPr>
        <w:pStyle w:val="ab"/>
        <w:numPr>
          <w:numId w:val="29"/>
        </w:numPr>
      </w:pPr>
      <w:r>
        <w:t>02:25:22 构建物理AI持续学习基础设施，推动机器人行业快速发展</w:t>
      </w:r>
    </w:p>
    <w:p>
      <w:r>
        <w:rPr>
          <w:rFonts w:ascii="等线(中文正文)" w:hAnsi="等线(中文正文)" w:cs="等线(中文正文)" w:eastAsia="等线(中文正文)"/>
          <w:b w:val="false"/>
          <w:i w:val="false"/>
          <w:sz w:val="20"/>
        </w:rPr>
        <w:t>演讲者分享了其在硅谷的工作经历，包括自动驾驶仿真领域，以及创立光轮智能后，致力于为机器人行业搭建基于数据、仿真和评测的基础设施。光轮智能现已发展成为全球最大的物理AI数据与评测基础设施提供商，拥有高质量的人类数据视频、仿真评测和真机部署平台三款核心产品。通过与全球众多顶尖企业合作，光轮智能正助力机器人行业快速成长，推动AI与机器人技术的深度融合与持续学习。</w:t>
      </w:r>
    </w:p>
    <w:p>
      <w:r>
        <w:rPr>
          <w:rFonts w:ascii="等线(中文正文)" w:hAnsi="等线(中文正文)" w:cs="等线(中文正文)" w:eastAsia="等线(中文正文)"/>
          <w:b w:val="false"/>
          <w:i w:val="false"/>
          <w:sz w:val="20"/>
        </w:rPr>
        <w:t/>
      </w:r>
    </w:p>
    <w:p>
      <w:pPr>
        <w:pStyle w:val="ab"/>
        <w:numPr>
          <w:numId w:val="30"/>
        </w:numPr>
      </w:pPr>
      <w:r>
        <w:t>02:30:55 人形机器人与具身智能：从人类学习原理出发的思考</w:t>
      </w:r>
    </w:p>
    <w:p>
      <w:r>
        <w:rPr>
          <w:rFonts w:ascii="等线(中文正文)" w:hAnsi="等线(中文正文)" w:cs="等线(中文正文)" w:eastAsia="等线(中文正文)"/>
          <w:b w:val="false"/>
          <w:i w:val="false"/>
          <w:sz w:val="20"/>
        </w:rPr>
        <w:t>从人类学习原理出发，探讨了人形机器人或具身智能的学习路径，强调了言传身教、试错学习与实践工作的重要性。人类社会的包容性为个体提供了试错与成长的空间，而机器人同样需要通过仿真与真机部署进行试错与纠正，以实现持续学习与进步。最终，真机部署被视为机器人学习的起点而非终点，强调了终身学习与实践对于机器人发展的重要性。</w:t>
      </w:r>
    </w:p>
    <w:p>
      <w:r>
        <w:rPr>
          <w:rFonts w:ascii="等线(中文正文)" w:hAnsi="等线(中文正文)" w:cs="等线(中文正文)" w:eastAsia="等线(中文正文)"/>
          <w:b w:val="false"/>
          <w:i w:val="false"/>
          <w:sz w:val="20"/>
        </w:rPr>
        <w:t/>
      </w:r>
    </w:p>
    <w:p>
      <w:pPr>
        <w:pStyle w:val="ab"/>
        <w:numPr>
          <w:numId w:val="31"/>
        </w:numPr>
      </w:pPr>
      <w:r>
        <w:t>02:33:56 机器人持续学习与试错空间构建</w:t>
      </w:r>
    </w:p>
    <w:p>
      <w:r>
        <w:rPr>
          <w:rFonts w:ascii="等线(中文正文)" w:hAnsi="等线(中文正文)" w:cs="等线(中文正文)" w:eastAsia="等线(中文正文)"/>
          <w:b w:val="false"/>
          <w:i w:val="false"/>
          <w:sz w:val="20"/>
        </w:rPr>
        <w:t>对话探讨了大元模型和自动驾驶在持续学习方面的机制，强调了人类言传身教与试错在机器人学习中的重要性。光轮智能提出构建一个可无限试错的仿真世界，通过自研的仿真求解器、物理世界测量工厂和A镇驱动的资产场景任务生成能力，旨在挑战机器人，提升其能力上限，并支持顶尖机器人赛事，推动机器人在真实世界的落地应用。</w:t>
      </w:r>
    </w:p>
    <w:p>
      <w:r>
        <w:rPr>
          <w:rFonts w:ascii="等线(中文正文)" w:hAnsi="等线(中文正文)" w:cs="等线(中文正文)" w:eastAsia="等线(中文正文)"/>
          <w:b w:val="false"/>
          <w:i w:val="false"/>
          <w:sz w:val="20"/>
        </w:rPr>
        <w:t/>
      </w:r>
    </w:p>
    <w:p>
      <w:pPr>
        <w:pStyle w:val="ab"/>
        <w:numPr>
          <w:numId w:val="32"/>
        </w:numPr>
      </w:pPr>
      <w:r>
        <w:t>02:47:21 机器人部署与持续学习的闭环机制</w:t>
      </w:r>
    </w:p>
    <w:p>
      <w:r>
        <w:rPr>
          <w:rFonts w:ascii="等线(中文正文)" w:hAnsi="等线(中文正文)" w:cs="等线(中文正文)" w:eastAsia="等线(中文正文)"/>
          <w:b w:val="false"/>
          <w:i w:val="false"/>
          <w:sz w:val="20"/>
        </w:rPr>
        <w:t>介绍了机器人栈解决就业上岗与持续学习问题的方法，通过真机部署平台结合数据、仿真评测和大模型，快速后训练并部署到机器人本体，采集失败反馈以补充纠错数据，形成闭环提升机制，强调机器人部署即学习起点，实现循环往复的优化过程。</w:t>
      </w:r>
    </w:p>
    <w:p>
      <w:r>
        <w:rPr>
          <w:rFonts w:ascii="等线(中文正文)" w:hAnsi="等线(中文正文)" w:cs="等线(中文正文)" w:eastAsia="等线(中文正文)"/>
          <w:b w:val="false"/>
          <w:i w:val="false"/>
          <w:sz w:val="20"/>
        </w:rPr>
        <w:t/>
      </w:r>
    </w:p>
    <w:p>
      <w:pPr>
        <w:pStyle w:val="ab"/>
        <w:numPr>
          <w:numId w:val="33"/>
        </w:numPr>
      </w:pPr>
      <w:r>
        <w:t>02:48:59 构建开放具身智能生态，共创人类与机器人文明</w:t>
      </w:r>
    </w:p>
    <w:p>
      <w:r>
        <w:rPr>
          <w:rFonts w:ascii="等线(中文正文)" w:hAnsi="等线(中文正文)" w:cs="等线(中文正文)" w:eastAsia="等线(中文正文)"/>
          <w:b w:val="false"/>
          <w:i w:val="false"/>
          <w:sz w:val="20"/>
        </w:rPr>
        <w:t>讨论了数据、认知与文明之间的关系，强调了人类文明的集体智慧特性。提出了构建开放具身智能生态的愿景，旨在通过人与机器人的持续学习，共同创造新的文明。介绍了光轮智能在仿真标准与数据标准化方面的贡献，包括参与Newton仿真技术委员会和Eagle Words人类数据标准的制定。宣布了推出全球最大规模的全模态人类数据集，并倡议全行业合作，共建100亿小时具身数据，以提升具身智能的泛化能力。</w:t>
      </w:r>
    </w:p>
    <w:p>
      <w:r>
        <w:rPr>
          <w:rFonts w:ascii="等线(中文正文)" w:hAnsi="等线(中文正文)" w:cs="等线(中文正文)" w:eastAsia="等线(中文正文)"/>
          <w:b w:val="false"/>
          <w:i w:val="false"/>
          <w:sz w:val="20"/>
        </w:rPr>
        <w:t/>
      </w:r>
    </w:p>
    <w:p>
      <w:pPr>
        <w:pStyle w:val="ab"/>
        <w:numPr>
          <w:numId w:val="34"/>
        </w:numPr>
      </w:pPr>
      <w:r>
        <w:t>02:56:10 科技与艺术融合：聚生智能的创新实践</w:t>
      </w:r>
    </w:p>
    <w:p>
      <w:r>
        <w:rPr>
          <w:rFonts w:ascii="等线(中文正文)" w:hAnsi="等线(中文正文)" w:cs="等线(中文正文)" w:eastAsia="等线(中文正文)"/>
          <w:b w:val="false"/>
          <w:i w:val="false"/>
          <w:sz w:val="20"/>
        </w:rPr>
        <w:t>广东省聚生智能机器人创新中心通过科学艺术联合实验室，与艺术家合作创作，探索机器人与艺术融合的新方式。科研与艺术的结合不仅发现了科研过程中的美学价值，还促进了科技的人文关怀，为未来机器人设计提供了新视角。实践中，艺术作品如‘微纳山水’、‘早产儿’和‘致爱人’等，展现了技术与人文的和谐共生，为科研工作注入了美的视角和人文情怀。</w:t>
      </w:r>
    </w:p>
    <w:p>
      <w:r>
        <w:rPr>
          <w:rFonts w:ascii="等线(中文正文)" w:hAnsi="等线(中文正文)" w:cs="等线(中文正文)" w:eastAsia="等线(中文正文)"/>
          <w:b w:val="false"/>
          <w:i w:val="false"/>
          <w:sz w:val="20"/>
        </w:rPr>
        <w:t/>
      </w:r>
    </w:p>
    <w:p>
      <w:pPr>
        <w:pStyle w:val="ab"/>
        <w:numPr>
          <w:numId w:val="35"/>
        </w:numPr>
      </w:pPr>
      <w:r>
        <w:t>03:04:49 具身智能：身体与认知的协同进化</w:t>
      </w:r>
    </w:p>
    <w:p>
      <w:r>
        <w:rPr>
          <w:rFonts w:ascii="等线(中文正文)" w:hAnsi="等线(中文正文)" w:cs="等线(中文正文)" w:eastAsia="等线(中文正文)"/>
          <w:b w:val="false"/>
          <w:i w:val="false"/>
          <w:sz w:val="20"/>
        </w:rPr>
        <w:t>对话探讨了具身智能的概念，强调智能不仅需要强大的计算能力，还需配合物理载体以实现对外部世界的认知与干预。通过石头发声与台球实验，说明了身体运动与多维感知对于理解复杂物理规则的重要性。具身智能系统旨在通过闭环认知进阶，揭示隐藏的物理现象，实现与现实世界的深度映射。</w:t>
      </w:r>
    </w:p>
    <w:p>
      <w:r>
        <w:rPr>
          <w:rFonts w:ascii="等线(中文正文)" w:hAnsi="等线(中文正文)" w:cs="等线(中文正文)" w:eastAsia="等线(中文正文)"/>
          <w:b w:val="false"/>
          <w:i w:val="false"/>
          <w:sz w:val="20"/>
        </w:rPr>
        <w:t/>
      </w:r>
    </w:p>
    <w:p>
      <w:pPr>
        <w:pStyle w:val="ab"/>
        <w:numPr>
          <w:numId w:val="36"/>
        </w:numPr>
      </w:pPr>
      <w:r>
        <w:t>03:10:11 科学与艺术融合：探索未知与创新的共性</w:t>
      </w:r>
    </w:p>
    <w:p>
      <w:r>
        <w:rPr>
          <w:rFonts w:ascii="等线(中文正文)" w:hAnsi="等线(中文正文)" w:cs="等线(中文正文)" w:eastAsia="等线(中文正文)"/>
          <w:b w:val="false"/>
          <w:i w:val="false"/>
          <w:sz w:val="20"/>
        </w:rPr>
        <w:t>对话探讨了科学与艺术在探索未知、创新过程中的共性，强调感知、建模、决策等智能要素的重要性，以及艺术在表达复杂思想、提升科研人员创新勇气方面的作用。通过艺术视角重新诠释科研失败，激活新价值，形成评价体系的互补，促进科学与艺术的深度融合，为科研创新提供新思路。</w:t>
      </w:r>
    </w:p>
    <w:p>
      <w:r>
        <w:rPr>
          <w:rFonts w:ascii="等线(中文正文)" w:hAnsi="等线(中文正文)" w:cs="等线(中文正文)" w:eastAsia="等线(中文正文)"/>
          <w:b w:val="false"/>
          <w:i w:val="false"/>
          <w:sz w:val="20"/>
        </w:rPr>
        <w:t/>
      </w:r>
    </w:p>
    <w:p>
      <w:pPr>
        <w:pStyle w:val="ab"/>
        <w:numPr>
          <w:numId w:val="37"/>
        </w:numPr>
      </w:pPr>
      <w:r>
        <w:t>03:15:22 通用大脑与灵巧手：构建物理世界生产力的基础设施</w:t>
      </w:r>
    </w:p>
    <w:p>
      <w:r>
        <w:rPr>
          <w:rFonts w:ascii="等线(中文正文)" w:hAnsi="等线(中文正文)" w:cs="等线(中文正文)" w:eastAsia="等线(中文正文)"/>
          <w:b w:val="false"/>
          <w:i w:val="false"/>
          <w:sz w:val="20"/>
        </w:rPr>
        <w:t>对话强调了在具身智能领域实现通用性的重要性，指出通过开发具有广泛适应性的模型和执行器，可以有效提升物理世界的生产力。以大语言模型和AI coding激活数字世界生产力为例，提出物理世界的通用接口应为人类双手，即灵巧手，以此构建物理世界的生产力基础设施，实现与数字世界类似的生产力释放。</w:t>
      </w:r>
    </w:p>
    <w:p>
      <w:r>
        <w:rPr>
          <w:rFonts w:ascii="等线(中文正文)" w:hAnsi="等线(中文正文)" w:cs="等线(中文正文)" w:eastAsia="等线(中文正文)"/>
          <w:b w:val="false"/>
          <w:i w:val="false"/>
          <w:sz w:val="20"/>
        </w:rPr>
        <w:t/>
      </w:r>
    </w:p>
    <w:p>
      <w:pPr>
        <w:pStyle w:val="ab"/>
        <w:numPr>
          <w:numId w:val="38"/>
        </w:numPr>
      </w:pPr>
      <w:r>
        <w:t>03:18:55 具身智能与硅基劳动力：从运动到灵巧操作的演进</w:t>
      </w:r>
    </w:p>
    <w:p>
      <w:r>
        <w:rPr>
          <w:rFonts w:ascii="等线(中文正文)" w:hAnsi="等线(中文正文)" w:cs="等线(中文正文)" w:eastAsia="等线(中文正文)"/>
          <w:b w:val="false"/>
          <w:i w:val="false"/>
          <w:sz w:val="20"/>
        </w:rPr>
        <w:t>具身智能经历了从运动到灵巧操作的三个发展阶段，最终目标是实现硅基劳动力，即通过世界基础模型作为大脑和极致仿生的灵巧手作为执行末端，构建物理AI开发平台。特斯拉等领先企业正在研发仿生手，以提升通用性。张宇动力公司致力于打造一体化的老手数据闭环，发布世界基础模型和灵巧手，旨在降低物理AI agent开发门槛。</w:t>
      </w:r>
    </w:p>
    <w:p>
      <w:r>
        <w:rPr>
          <w:rFonts w:ascii="等线(中文正文)" w:hAnsi="等线(中文正文)" w:cs="等线(中文正文)" w:eastAsia="等线(中文正文)"/>
          <w:b w:val="false"/>
          <w:i w:val="false"/>
          <w:sz w:val="20"/>
        </w:rPr>
        <w:t/>
      </w:r>
    </w:p>
    <w:p>
      <w:pPr>
        <w:pStyle w:val="ab"/>
        <w:numPr>
          <w:numId w:val="39"/>
        </w:numPr>
      </w:pPr>
      <w:r>
        <w:t>03:22:34 深思架构与灵巧手技术的创新进展</w:t>
      </w:r>
    </w:p>
    <w:p>
      <w:r>
        <w:rPr>
          <w:rFonts w:ascii="等线(中文正文)" w:hAnsi="等线(中文正文)" w:cs="等线(中文正文)" w:eastAsia="等线(中文正文)"/>
          <w:b w:val="false"/>
          <w:i w:val="false"/>
          <w:sz w:val="20"/>
        </w:rPr>
        <w:t>介绍了深思架构，包括通用世界基础模型和策略模型，以及数据体系的重要性。重点展示了数据产品Oversize方案，包括DEX 5米、异构方案和EgoBile技术，特别是机电手环实现了跨个体零样本泛化。此外，还介绍了同构设计的仿生外骨骼数据手套和CWord 0.5世界基础模型，提升了语义跟随度和视觉质量。</w:t>
      </w:r>
    </w:p>
    <w:p>
      <w:r>
        <w:rPr>
          <w:rFonts w:ascii="等线(中文正文)" w:hAnsi="等线(中文正文)" w:cs="等线(中文正文)" w:eastAsia="等线(中文正文)"/>
          <w:b w:val="false"/>
          <w:i w:val="false"/>
          <w:sz w:val="20"/>
        </w:rPr>
        <w:t/>
      </w:r>
    </w:p>
    <w:p>
      <w:pPr>
        <w:pStyle w:val="ab"/>
        <w:numPr>
          <w:numId w:val="40"/>
        </w:numPr>
      </w:pPr>
      <w:r>
        <w:t>03:32:26 构建支持多模态与因果建模的物理AI机身模型</w:t>
      </w:r>
    </w:p>
    <w:p>
      <w:r>
        <w:rPr>
          <w:rFonts w:ascii="等线(中文正文)" w:hAnsi="等线(中文正文)" w:cs="等线(中文正文)" w:eastAsia="等线(中文正文)"/>
          <w:b w:val="false"/>
          <w:i w:val="false"/>
          <w:sz w:val="20"/>
        </w:rPr>
        <w:t>讨论了物理AI机身模型在实现极致skating能力方面的重要性，包括模型架构需天然支持持续时序和多模态数据输入。介绍了MOT架构在模态层面支持skating，提升因果建模能力。分享了在国际机器人顶会上取得的成绩，以及未来计划发布的高参数世界基础模型。强调了数据基建、AI计算机件和评估基建对于模型能力提升的关键作用，特别是闭环仿真和评估基建的重要性。展示了未来预测和因果建模的演示案例，强调了任务分解、反馈控制和高频流畅性在策略模型中的必要性。</w:t>
      </w:r>
    </w:p>
    <w:p>
      <w:r>
        <w:rPr>
          <w:rFonts w:ascii="等线(中文正文)" w:hAnsi="等线(中文正文)" w:cs="等线(中文正文)" w:eastAsia="等线(中文正文)"/>
          <w:b w:val="false"/>
          <w:i w:val="false"/>
          <w:sz w:val="20"/>
        </w:rPr>
        <w:t/>
      </w:r>
    </w:p>
    <w:p>
      <w:pPr>
        <w:pStyle w:val="ab"/>
        <w:numPr>
          <w:numId w:val="41"/>
        </w:numPr>
      </w:pPr>
      <w:r>
        <w:t>03:38:51 仿生灵巧手：省区零交所路线与极致仿生</w:t>
      </w:r>
    </w:p>
    <w:p>
      <w:r>
        <w:rPr>
          <w:rFonts w:ascii="等线(中文正文)" w:hAnsi="等线(中文正文)" w:cs="等线(中文正文)" w:eastAsia="等线(中文正文)"/>
          <w:b w:val="false"/>
          <w:i w:val="false"/>
          <w:sz w:val="20"/>
        </w:rPr>
        <w:t>介绍了最新发布的奥拓h hand，一款基于数据模型与灵巧手一体设计理念的产品，强调其在仿生、稳定性、可靠性和场景适应性上的优势。该手部设计采用省区零交所路线，通过将所有驱动单元集中于小B，实现轻巧灵活的状态，同时支持立位混合控制，拥有28个自由度，接近人手的感知和反馈能力，适用于多种复杂环境下的操作任务。</w:t>
      </w:r>
    </w:p>
    <w:p>
      <w:r>
        <w:rPr>
          <w:rFonts w:ascii="等线(中文正文)" w:hAnsi="等线(中文正文)" w:cs="等线(中文正文)" w:eastAsia="等线(中文正文)"/>
          <w:b w:val="false"/>
          <w:i w:val="false"/>
          <w:sz w:val="20"/>
        </w:rPr>
        <w:t/>
      </w:r>
    </w:p>
    <w:p>
      <w:pPr>
        <w:pStyle w:val="a7"/>
      </w:pPr>
      <w:r>
        <w:t>发言总结</w:t>
      </w:r>
    </w:p>
    <w:p>
      <w:pPr>
        <w:pStyle w:val="ab"/>
        <w:numPr>
          <w:numId w:val="42"/>
        </w:numPr>
      </w:pPr>
      <w:r>
        <w:t>发言人1</w:t>
      </w:r>
    </w:p>
    <w:p>
      <w:r>
        <w:rPr>
          <w:rFonts w:ascii="等线(中文正文)" w:hAnsi="等线(中文正文)" w:cs="等线(中文正文)" w:eastAsia="等线(中文正文)"/>
          <w:b w:val="false"/>
          <w:i w:val="false"/>
          <w:sz w:val="20"/>
        </w:rPr>
        <w:t>他首先对与会者表示欢迎，并介绍了即将举行的2026世界机器人大会主论坛的重点内容，强调了面向人类赋能与福祉的具身人工智能，以及智能人形机器人和可穿戴机器人在康复应用方面的最新进展。他分享了自己在机器人领域的研究，特别是在意大利作为国家能力中心主任的经历，强调了促进科研与产业合作的重要性。他指出，随着人口结构变化和对康复机器人需求的增加，人类中心机器人研究变得尤为重要，提到了中国外骨骼技术的应用以及政策对新科技的支持。他还分享了机器人与人类交互的研究，特别是在改善患者生活质量方面的潜力，以及机器人技术在工厂自动化、半导体行业和新能源汽车领域应用，展示了机器人技术对产业发展的推动作用。
他强调了跨学科合作和技术创新的重要性，提到了在机器人、AI、大数据和仿生学领域的融合带来的变革，以及通过建立生态合作伙伴关系实现具体目标的重要性。他还讨论了机器人硬件和软件上的突破性进展，如神经网络和基于脉冲的脊髓模块在提高机器人反应速度和学习能力方面的作用。他还介绍了创新的生物电信号转换技术、仿生设计的手套与手环，以及高性能的AI模型在机器人领域的应用和潜力，展示了如何通过技术创新支持和促进机器人领域的发展。最后，他强调了农业机器人技术的潜在重要性，并探讨了市场需求、人口结构变化和地缘政治因素对农业机器人技术的影响。</w:t>
      </w:r>
    </w:p>
    <w:p>
      <w:r>
        <w:rPr>
          <w:rFonts w:ascii="等线(中文正文)" w:hAnsi="等线(中文正文)" w:cs="等线(中文正文)" w:eastAsia="等线(中文正文)"/>
          <w:b w:val="false"/>
          <w:i w:val="false"/>
          <w:sz w:val="20"/>
        </w:rPr>
        <w:t/>
      </w:r>
    </w:p>
    <w:p>
      <w:pPr>
        <w:pStyle w:val="a7"/>
      </w:pPr>
      <w:r>
        <w:t>要点回顾</w:t>
      </w:r>
    </w:p>
    <w:p>
      <w:pPr>
        <w:pStyle w:val="ab"/>
      </w:pPr>
      <w:r>
        <w:t>What role does the National Competence Center in Robotics in Italy play?</w:t>
      </w:r>
    </w:p>
    <w:p>
      <w:r>
        <w:rPr>
          <w:rFonts w:ascii="等线(中文正文)" w:hAnsi="等线(中文正文)" w:cs="等线(中文正文)" w:eastAsia="等线(中文正文)"/>
          <w:b w:val="false"/>
          <w:i w:val="false"/>
          <w:sz w:val="20"/>
        </w:rPr>
        <w:t>发言人1：The National Competence Center in Robotics in Italy acts as a bridge between research and industry, connecting research with industrial applications in the field of robotics.</w:t>
      </w:r>
    </w:p>
    <w:p>
      <w:r>
        <w:rPr>
          <w:rFonts w:ascii="等线(中文正文)" w:hAnsi="等线(中文正文)" w:cs="等线(中文正文)" w:eastAsia="等线(中文正文)"/>
          <w:b w:val="false"/>
          <w:i w:val="false"/>
          <w:sz w:val="20"/>
        </w:rPr>
        <w:t/>
      </w:r>
    </w:p>
    <w:p>
      <w:pPr>
        <w:pStyle w:val="ab"/>
      </w:pPr>
      <w:r>
        <w:t>What is the main focus of Antonio Frei's research presented at the 2026 world robot conference?What are the applications of human center robotics highlighted by Antonio Frei?</w:t>
      </w:r>
    </w:p>
    <w:p>
      <w:r>
        <w:rPr>
          <w:rFonts w:ascii="等线(中文正文)" w:hAnsi="等线(中文正文)" w:cs="等线(中文正文)" w:eastAsia="等线(中文正文)"/>
          <w:b w:val="false"/>
          <w:i w:val="false"/>
          <w:sz w:val="20"/>
        </w:rPr>
        <w:t>发言人1：The main focus of Antonio Frei's research is on human-robot interaction and the application of humanoid robotics, specifically in terms of exoskeletons and their use in industry to prevent work-related injuries and support productivity.Antonio Frei highlights several applications of human center robotics, such as the use of exoskeletons in industry, the adaptation of robots for rehabilitation purposes, the integration of soft robotics, and the use of light robots for tasks that require delicate manipulation.</w:t>
      </w:r>
    </w:p>
    <w:p>
      <w:r>
        <w:rPr>
          <w:rFonts w:ascii="等线(中文正文)" w:hAnsi="等线(中文正文)" w:cs="等线(中文正文)" w:eastAsia="等线(中文正文)"/>
          <w:b w:val="false"/>
          <w:i w:val="false"/>
          <w:sz w:val="20"/>
        </w:rPr>
        <w:t/>
      </w:r>
    </w:p>
    <w:p>
      <w:pPr>
        <w:pStyle w:val="ab"/>
      </w:pPr>
      <w:r>
        <w:t>What kind of support do exoskeletons provide according to Antonio Frei?</w:t>
      </w:r>
    </w:p>
    <w:p>
      <w:r>
        <w:rPr>
          <w:rFonts w:ascii="等线(中文正文)" w:hAnsi="等线(中文正文)" w:cs="等线(中文正文)" w:eastAsia="等线(中文正文)"/>
          <w:b w:val="false"/>
          <w:i w:val="false"/>
          <w:sz w:val="20"/>
        </w:rPr>
        <w:t>发言人1：Exoskeletons provide support for both patients and healthy individuals, enabling empowerment and helping to prevent work-related skeletal disorders.</w:t>
      </w:r>
    </w:p>
    <w:p>
      <w:r>
        <w:rPr>
          <w:rFonts w:ascii="等线(中文正文)" w:hAnsi="等线(中文正文)" w:cs="等线(中文正文)" w:eastAsia="等线(中文正文)"/>
          <w:b w:val="false"/>
          <w:i w:val="false"/>
          <w:sz w:val="20"/>
        </w:rPr>
        <w:t/>
      </w:r>
    </w:p>
    <w:p>
      <w:pPr>
        <w:pStyle w:val="ab"/>
      </w:pPr>
      <w:r>
        <w:t>What is the significance of the exoskeleton's adaptability and force feedback in its applications?</w:t>
      </w:r>
    </w:p>
    <w:p>
      <w:r>
        <w:rPr>
          <w:rFonts w:ascii="等线(中文正文)" w:hAnsi="等线(中文正文)" w:cs="等线(中文正文)" w:eastAsia="等线(中文正文)"/>
          <w:b w:val="false"/>
          <w:i w:val="false"/>
          <w:sz w:val="20"/>
        </w:rPr>
        <w:t>发言人1：The adaptability of exoskeletons and the force feedback system are significant as they ensure a smooth interaction between the robot and the human, with the robot being able to adjust to the user's movements and provide appropriate force support.</w:t>
      </w:r>
    </w:p>
    <w:p>
      <w:r>
        <w:rPr>
          <w:rFonts w:ascii="等线(中文正文)" w:hAnsi="等线(中文正文)" w:cs="等线(中文正文)" w:eastAsia="等线(中文正文)"/>
          <w:b w:val="false"/>
          <w:i w:val="false"/>
          <w:sz w:val="20"/>
        </w:rPr>
        <w:t/>
      </w:r>
    </w:p>
    <w:p>
      <w:pPr>
        <w:pStyle w:val="ab"/>
      </w:pPr>
      <w:r>
        <w:t>How are humanoid robots applied in hazardous environments?</w:t>
      </w:r>
    </w:p>
    <w:p>
      <w:r>
        <w:rPr>
          <w:rFonts w:ascii="等线(中文正文)" w:hAnsi="等线(中文正文)" w:cs="等线(中文正文)" w:eastAsia="等线(中文正文)"/>
          <w:b w:val="false"/>
          <w:i w:val="false"/>
          <w:sz w:val="20"/>
        </w:rPr>
        <w:t>发言人1：Humanoid robots are applied in hazardous environments, such as nuclear plants, to perform tasks that are difficult or dangerous for humans, using force feedback mechanisms for precise manipulation.</w:t>
      </w:r>
    </w:p>
    <w:p>
      <w:r>
        <w:rPr>
          <w:rFonts w:ascii="等线(中文正文)" w:hAnsi="等线(中文正文)" w:cs="等线(中文正文)" w:eastAsia="等线(中文正文)"/>
          <w:b w:val="false"/>
          <w:i w:val="false"/>
          <w:sz w:val="20"/>
        </w:rPr>
        <w:t/>
      </w:r>
    </w:p>
    <w:p>
      <w:pPr>
        <w:pStyle w:val="ab"/>
      </w:pPr>
      <w:r>
        <w:t>What advancements in robot training and foundation models are being explored by Antonio Frei?</w:t>
      </w:r>
    </w:p>
    <w:p>
      <w:r>
        <w:rPr>
          <w:rFonts w:ascii="等线(中文正文)" w:hAnsi="等线(中文正文)" w:cs="等线(中文正文)" w:eastAsia="等线(中文正文)"/>
          <w:b w:val="false"/>
          <w:i w:val="false"/>
          <w:sz w:val="20"/>
        </w:rPr>
        <w:t>发言人1：Antonio Frei is exploring advancements in robot training, utilizing foundation models to enable robots to perform complex tasks such as pick and place operations, with the aim of achieving generalization and autonomy.</w:t>
      </w:r>
    </w:p>
    <w:p>
      <w:r>
        <w:rPr>
          <w:rFonts w:ascii="等线(中文正文)" w:hAnsi="等线(中文正文)" w:cs="等线(中文正文)" w:eastAsia="等线(中文正文)"/>
          <w:b w:val="false"/>
          <w:i w:val="false"/>
          <w:sz w:val="20"/>
        </w:rPr>
        <w:t/>
      </w:r>
    </w:p>
    <w:p>
      <w:pPr>
        <w:pStyle w:val="ab"/>
      </w:pPr>
      <w:r>
        <w:t>What is the importance of touch compliance in medical robotics?</w:t>
      </w:r>
    </w:p>
    <w:p>
      <w:r>
        <w:rPr>
          <w:rFonts w:ascii="等线(中文正文)" w:hAnsi="等线(中文正文)" w:cs="等线(中文正文)" w:eastAsia="等线(中文正文)"/>
          <w:b w:val="false"/>
          <w:i w:val="false"/>
          <w:sz w:val="20"/>
        </w:rPr>
        <w:t>发言人1：Touch compliance is crucial in medical robotics to allow doctors to interact with patients under medical procedures with good control and to accurately identify organs for procedures like biopsies.</w:t>
      </w:r>
    </w:p>
    <w:p>
      <w:r>
        <w:rPr>
          <w:rFonts w:ascii="等线(中文正文)" w:hAnsi="等线(中文正文)" w:cs="等线(中文正文)" w:eastAsia="等线(中文正文)"/>
          <w:b w:val="false"/>
          <w:i w:val="false"/>
          <w:sz w:val="20"/>
        </w:rPr>
        <w:t/>
      </w:r>
    </w:p>
    <w:p>
      <w:pPr>
        <w:pStyle w:val="ab"/>
      </w:pPr>
      <w:r>
        <w:t>您能否分享一下SMC投资管理有限公司总经理马海清的演讲内容，特别是关于绿色低压数字赋能和机器人产业创新生态的部分？</w:t>
      </w:r>
    </w:p>
    <w:p>
      <w:r>
        <w:rPr>
          <w:rFonts w:ascii="等线(中文正文)" w:hAnsi="等线(中文正文)" w:cs="等线(中文正文)" w:eastAsia="等线(中文正文)"/>
          <w:b w:val="false"/>
          <w:i w:val="false"/>
          <w:sz w:val="20"/>
        </w:rPr>
        <w:t>发言人1：马海清总经理在演讲中介绍了SMC公司的情况，该公司专注于气动技术，为工业自动化领域的高端装备提供气动元器件配套服务。在中国，SMC拥有五家法人公司、一家投资公司、三家制造公司和一家销售公司，员工总数约8000人，预计今年产值将达到180亿元人民币。目前，SMC产品覆盖约1.2万个系列、88万个型号，服务全球约70万个客户，成功进入了36%的国际市场，并与包括北京理工大学在内的18所大学建立了产权合作关系。此外，SMC还通过业务连续性计划确保在全球不确定环境中产品的稳定供应。</w:t>
      </w:r>
    </w:p>
    <w:p>
      <w:r>
        <w:rPr>
          <w:rFonts w:ascii="等线(中文正文)" w:hAnsi="等线(中文正文)" w:cs="等线(中文正文)" w:eastAsia="等线(中文正文)"/>
          <w:b w:val="false"/>
          <w:i w:val="false"/>
          <w:sz w:val="20"/>
        </w:rPr>
        <w:t/>
      </w:r>
    </w:p>
    <w:p>
      <w:pPr>
        <w:pStyle w:val="ab"/>
      </w:pPr>
      <w:r>
        <w:t>请简述一下您的团队以及您在大学里的工作情况？</w:t>
      </w:r>
    </w:p>
    <w:p>
      <w:r>
        <w:rPr>
          <w:rFonts w:ascii="等线(中文正文)" w:hAnsi="等线(中文正文)" w:cs="等线(中文正文)" w:eastAsia="等线(中文正文)"/>
          <w:b w:val="false"/>
          <w:i w:val="false"/>
          <w:sz w:val="20"/>
        </w:rPr>
        <w:t>发言人1：我的团队正在研发一种能够远程操作的机器人，以便在无法亲自前往时进行实验或维护工作。我在大学中主要负责教学和与研究生的合作，并与团队一起推动技术创新。</w:t>
      </w:r>
    </w:p>
    <w:p>
      <w:r>
        <w:rPr>
          <w:rFonts w:ascii="等线(中文正文)" w:hAnsi="等线(中文正文)" w:cs="等线(中文正文)" w:eastAsia="等线(中文正文)"/>
          <w:b w:val="false"/>
          <w:i w:val="false"/>
          <w:sz w:val="20"/>
        </w:rPr>
        <w:t/>
      </w:r>
    </w:p>
    <w:p>
      <w:pPr>
        <w:pStyle w:val="ab"/>
      </w:pPr>
      <w:r>
        <w:t>SMC公司在自动化产业中做了哪些发展和实践应用？</w:t>
      </w:r>
    </w:p>
    <w:p>
      <w:r>
        <w:rPr>
          <w:rFonts w:ascii="等线(中文正文)" w:hAnsi="等线(中文正文)" w:cs="等线(中文正文)" w:eastAsia="等线(中文正文)"/>
          <w:b w:val="false"/>
          <w:i w:val="false"/>
          <w:sz w:val="20"/>
        </w:rPr>
        <w:t>发言人1：SMC公司在自动化产业中致力于技术创新和产品创新，以适应新兴产业如集成电路、半导体、新能源产业快速发展需求。公司以产创新引领、数字化驱动及绿色低碳发展为主旨，通过技术产品创新、制造工艺过程创新以及服务体系创新三大维度助力产业发展。例如，针对机器人产业需求，SMC研发出小型化、轻量化、节能和智能化的产品，并推出无线产品以减少配线错误带来的困扰。同时，为了配合数字化转型，SMC开发了无线导管技术和全套数字化解决方案，提升了客户生产效率。此外，公司还强化产能提升，推进国产化，确保供应链自主安全，并规划了数字化发展的四个阶段：精英化、自动化、数字化和智能化，以实现整个企业运营的高效、透明和节能化。</w:t>
      </w:r>
    </w:p>
    <w:p>
      <w:r>
        <w:rPr>
          <w:rFonts w:ascii="等线(中文正文)" w:hAnsi="等线(中文正文)" w:cs="等线(中文正文)" w:eastAsia="等线(中文正文)"/>
          <w:b w:val="false"/>
          <w:i w:val="false"/>
          <w:sz w:val="20"/>
        </w:rPr>
        <w:t/>
      </w:r>
    </w:p>
    <w:p>
      <w:pPr>
        <w:pStyle w:val="ab"/>
      </w:pPr>
      <w:r>
        <w:t>这款机器人主要应用于哪些场景，以及它如何进行预测性维护？</w:t>
      </w:r>
    </w:p>
    <w:p>
      <w:r>
        <w:rPr>
          <w:rFonts w:ascii="等线(中文正文)" w:hAnsi="等线(中文正文)" w:cs="等线(中文正文)" w:eastAsia="等线(中文正文)"/>
          <w:b w:val="false"/>
          <w:i w:val="false"/>
          <w:sz w:val="20"/>
        </w:rPr>
        <w:t>发言人1：这款专门化的机器人主要用于检查和收集信息，并能够根据收集的数据进行外推预测。它结合了基础模型、深度神经网络与机器人技术，将这些技术的应用范围从医疗领域扩展到工业领域。例如，通过视觉识别技术，可以实现远程操控，即使在无法亲自到场的情况下也能完成相关工作。</w:t>
      </w:r>
    </w:p>
    <w:p>
      <w:r>
        <w:rPr>
          <w:rFonts w:ascii="等线(中文正文)" w:hAnsi="等线(中文正文)" w:cs="等线(中文正文)" w:eastAsia="等线(中文正文)"/>
          <w:b w:val="false"/>
          <w:i w:val="false"/>
          <w:sz w:val="20"/>
        </w:rPr>
        <w:t/>
      </w:r>
    </w:p>
    <w:p>
      <w:pPr>
        <w:pStyle w:val="ab"/>
      </w:pPr>
      <w:r>
        <w:t>在IMC工厂中，产业机器人和鞋子机器人的导入是如何实现的，以及它们如何帮助企业提质增效？</w:t>
      </w:r>
    </w:p>
    <w:p>
      <w:r>
        <w:rPr>
          <w:rFonts w:ascii="等线(中文正文)" w:hAnsi="等线(中文正文)" w:cs="等线(中文正文)" w:eastAsia="等线(中文正文)"/>
          <w:b w:val="false"/>
          <w:i w:val="false"/>
          <w:sz w:val="20"/>
        </w:rPr>
        <w:t>发言人1：我们已经在机架系统中全面导入了产业机器人，并针对各类前端执行机构如手部、推移拿取吸盘等进行了定制化设计。同时，在居家车间和组装车间，我们也进行了机器人产品的组合配套工作，以及对协作机器人和产业机器人的拾取分拣、装配工作进行了自动化改造。在环境较差的涂装、氧化等环节，我们成功以机器替代人工，确保作业安全。此外，通过智能仓储等配套设施，整体提升了工厂自动化水平，使艾东西的中国工厂成为国家级先进工厂，并有望明年获得卓越级认证。</w:t>
      </w:r>
    </w:p>
    <w:p>
      <w:r>
        <w:rPr>
          <w:rFonts w:ascii="等线(中文正文)" w:hAnsi="等线(中文正文)" w:cs="等线(中文正文)" w:eastAsia="等线(中文正文)"/>
          <w:b w:val="false"/>
          <w:i w:val="false"/>
          <w:sz w:val="20"/>
        </w:rPr>
        <w:t/>
      </w:r>
    </w:p>
    <w:p>
      <w:pPr>
        <w:pStyle w:val="ab"/>
      </w:pPr>
      <w:r>
        <w:t>IMC亚太研发中心成立的目的及主要考虑因素是什么？</w:t>
      </w:r>
    </w:p>
    <w:p>
      <w:r>
        <w:rPr>
          <w:rFonts w:ascii="等线(中文正文)" w:hAnsi="等线(中文正文)" w:cs="等线(中文正文)" w:eastAsia="等线(中文正文)"/>
          <w:b w:val="false"/>
          <w:i w:val="false"/>
          <w:sz w:val="20"/>
        </w:rPr>
        <w:t>发言人1：我们于24年成立新的IMC亚太研发中心，预计下个月正式投入使用，目的是为了更好地支持中国新兴产业的发展。在产品创新方面，我们主要从小型化、轻量化、柔性化、智能化和低功耗五个维度进行机器人的技术创新，例如推出5G法导、5G真空发生器以及无线法导技术、高压器管理系统、电动摆台和小型空压站等产品，以推动机器人产业及协作机器人的发展。</w:t>
      </w:r>
    </w:p>
    <w:p>
      <w:r>
        <w:rPr>
          <w:rFonts w:ascii="等线(中文正文)" w:hAnsi="等线(中文正文)" w:cs="等线(中文正文)" w:eastAsia="等线(中文正文)"/>
          <w:b w:val="false"/>
          <w:i w:val="false"/>
          <w:sz w:val="20"/>
        </w:rPr>
        <w:t/>
      </w:r>
    </w:p>
    <w:p>
      <w:pPr>
        <w:pStyle w:val="ab"/>
      </w:pPr>
      <w:r>
        <w:t>在支持巨神机器人发展上，你们采取了哪些措施？</w:t>
      </w:r>
    </w:p>
    <w:p>
      <w:r>
        <w:rPr>
          <w:rFonts w:ascii="等线(中文正文)" w:hAnsi="等线(中文正文)" w:cs="等线(中文正文)" w:eastAsia="等线(中文正文)"/>
          <w:b w:val="false"/>
          <w:i w:val="false"/>
          <w:sz w:val="20"/>
        </w:rPr>
        <w:t>发言人1：对于巨神机器人的产品创新，我们致力于使其能够进入工厂和现场替代人力作业，并为其配套灵巧手等关键部件的研发。同时，我们也关注到在巨神机器人制造过程中大量使用的轴承关节、私服等关键零部件，通过MC技术帮助零部件厂商提升制造能力，同时也参与这些零部件的制造工作。</w:t>
      </w:r>
    </w:p>
    <w:p>
      <w:r>
        <w:rPr>
          <w:rFonts w:ascii="等线(中文正文)" w:hAnsi="等线(中文正文)" w:cs="等线(中文正文)" w:eastAsia="等线(中文正文)"/>
          <w:b w:val="false"/>
          <w:i w:val="false"/>
          <w:sz w:val="20"/>
        </w:rPr>
        <w:t/>
      </w:r>
    </w:p>
    <w:p>
      <w:pPr>
        <w:pStyle w:val="ab"/>
      </w:pPr>
      <w:r>
        <w:t>莫奇智能如何看待家庭服务机器人的发展挑战及解决方案？</w:t>
      </w:r>
    </w:p>
    <w:p>
      <w:r>
        <w:rPr>
          <w:rFonts w:ascii="等线(中文正文)" w:hAnsi="等线(中文正文)" w:cs="等线(中文正文)" w:eastAsia="等线(中文正文)"/>
          <w:b w:val="false"/>
          <w:i w:val="false"/>
          <w:sz w:val="20"/>
        </w:rPr>
        <w:t>发言人1：莫奇智能认为家庭服务机器人的第一步不是直接进入家庭，而是通过服务场景作为切入点，积累数据并迭代模型能力。家庭服务机器人需具备效率、准确率和泛化性三大能力，而服务场景具备高泛化性和数据可回流性，因此更适合训练可泛化的基础模型。为了获取高质量数据，我们选择真实世界的真实场景进行数据采集，设计了一套严密的数据生产机制，并通过便携式采集设备让保洁人员在实际工作中生成数据，经过质检、挖掘、标注、训练和评测等多个环节，保证数据质量和整个数据链路的有效运转。通过构建数据引擎，莫奇智能正在逐步推进家庭服务机器人的研发进程。</w:t>
      </w:r>
    </w:p>
    <w:p>
      <w:r>
        <w:rPr>
          <w:rFonts w:ascii="等线(中文正文)" w:hAnsi="等线(中文正文)" w:cs="等线(中文正文)" w:eastAsia="等线(中文正文)"/>
          <w:b w:val="false"/>
          <w:i w:val="false"/>
          <w:sz w:val="20"/>
        </w:rPr>
        <w:t/>
      </w:r>
    </w:p>
    <w:p>
      <w:pPr>
        <w:pStyle w:val="ab"/>
      </w:pPr>
      <w:r>
        <w:t>在描述模型时，为什么更注重从能力维度而非架构细节来介绍？mora模型的名字和设计理念分别是什么？</w:t>
      </w:r>
    </w:p>
    <w:p>
      <w:r>
        <w:rPr>
          <w:rFonts w:ascii="等线(中文正文)" w:hAnsi="等线(中文正文)" w:cs="等线(中文正文)" w:eastAsia="等线(中文正文)"/>
          <w:b w:val="false"/>
          <w:i w:val="false"/>
          <w:sz w:val="20"/>
        </w:rPr>
        <w:t>发言人1：我们更关注模型的能力，因为它关乎模型能执行什么任务、未来可能具备的能力以及我们期望它实现的目标。对于大部分观众而言，他们更关心的是模型的实际应用价值，而非其内部复杂的架构设计。mora模型名字由公司名MO、reasoning（理解世界）和autonomy（自主决策与执行）组合而来，代表了我们对模型的两个核心能力需求。整个系统包含三个组成部分：云端交互系统（system two）、端侧大脑系统（system one）和执行动作的运动控制系统（system zero）。</w:t>
      </w:r>
    </w:p>
    <w:p>
      <w:r>
        <w:rPr>
          <w:rFonts w:ascii="等线(中文正文)" w:hAnsi="等线(中文正文)" w:cs="等线(中文正文)" w:eastAsia="等线(中文正文)"/>
          <w:b w:val="false"/>
          <w:i w:val="false"/>
          <w:sz w:val="20"/>
        </w:rPr>
        <w:t/>
      </w:r>
    </w:p>
    <w:p>
      <w:pPr>
        <w:pStyle w:val="ab"/>
      </w:pPr>
      <w:r>
        <w:t>模型设计的第二个关键理念是什么？mora模型目前具备哪些能力？</w:t>
      </w:r>
    </w:p>
    <w:p>
      <w:r>
        <w:rPr>
          <w:rFonts w:ascii="等线(中文正文)" w:hAnsi="等线(中文正文)" w:cs="等线(中文正文)" w:eastAsia="等线(中文正文)"/>
          <w:b w:val="false"/>
          <w:i w:val="false"/>
          <w:sz w:val="20"/>
        </w:rPr>
        <w:t>发言人1：第二个关键理念是深层决策理解一体化，模型在训练过程中既进行理解和生成任务，如QA、COT和语言理解，也进行未来帧或视频的生成，以实现对未来画面的想象，并输出动作，同时加入高频触觉expert应对极端情况。mora模型能完成桌面清理、人机交互等复杂任务，例如区分物体、应对突发情况、理解人对动作的指令和语义，并具备记忆能力，能够恢复原始状态。此外，模型还具有多模态目标理解、多模态意图理解、抗环境干扰能力和位置力控混合控制算法等特性。</w:t>
      </w:r>
    </w:p>
    <w:p>
      <w:r>
        <w:rPr>
          <w:rFonts w:ascii="等线(中文正文)" w:hAnsi="等线(中文正文)" w:cs="等线(中文正文)" w:eastAsia="等线(中文正文)"/>
          <w:b w:val="false"/>
          <w:i w:val="false"/>
          <w:sz w:val="20"/>
        </w:rPr>
        <w:t/>
      </w:r>
    </w:p>
    <w:p>
      <w:pPr>
        <w:pStyle w:val="ab"/>
      </w:pPr>
      <w:r>
        <w:t>模型设计的第一个核心理念是什么？</w:t>
      </w:r>
    </w:p>
    <w:p>
      <w:r>
        <w:rPr>
          <w:rFonts w:ascii="等线(中文正文)" w:hAnsi="等线(中文正文)" w:cs="等线(中文正文)" w:eastAsia="等线(中文正文)"/>
          <w:b w:val="false"/>
          <w:i w:val="false"/>
          <w:sz w:val="20"/>
        </w:rPr>
        <w:t>发言人1：第一个核心理念是将更多能力转移到端侧的大脑系统（system one），使其越来越智能，减少对云端大脑的依赖，实现快速、自主决策和长期任务规划，达到agenting native的目标。</w:t>
      </w:r>
    </w:p>
    <w:p>
      <w:r>
        <w:rPr>
          <w:rFonts w:ascii="等线(中文正文)" w:hAnsi="等线(中文正文)" w:cs="等线(中文正文)" w:eastAsia="等线(中文正文)"/>
          <w:b w:val="false"/>
          <w:i w:val="false"/>
          <w:sz w:val="20"/>
        </w:rPr>
        <w:t/>
      </w:r>
    </w:p>
    <w:p>
      <w:pPr>
        <w:pStyle w:val="ab"/>
      </w:pPr>
      <w:r>
        <w:t>对于家庭机器人的第一步，您认为最重要的是什么？</w:t>
      </w:r>
    </w:p>
    <w:p>
      <w:r>
        <w:rPr>
          <w:rFonts w:ascii="等线(中文正文)" w:hAnsi="等线(中文正文)" w:cs="等线(中文正文)" w:eastAsia="等线(中文正文)"/>
          <w:b w:val="false"/>
          <w:i w:val="false"/>
          <w:sz w:val="20"/>
        </w:rPr>
        <w:t>发言人1：家庭机器人第一步不是追求全能，而是要能够在真实环境中理解人的意图，适应环境变化，并持续可靠地完成一件事。同时，还需要解决隐私、物理安全以及长期共处的伦理问题。</w:t>
      </w:r>
    </w:p>
    <w:p>
      <w:r>
        <w:rPr>
          <w:rFonts w:ascii="等线(中文正文)" w:hAnsi="等线(中文正文)" w:cs="等线(中文正文)" w:eastAsia="等线(中文正文)"/>
          <w:b w:val="false"/>
          <w:i w:val="false"/>
          <w:sz w:val="20"/>
        </w:rPr>
        <w:t/>
      </w:r>
    </w:p>
    <w:p>
      <w:pPr>
        <w:pStyle w:val="ab"/>
      </w:pPr>
      <w:r>
        <w:t>在大语言模型时代，数字世界的基础设施如何提升AI生产力的转化效率，并且对应物理世界的发展呢？</w:t>
      </w:r>
    </w:p>
    <w:p>
      <w:r>
        <w:rPr>
          <w:rFonts w:ascii="等线(中文正文)" w:hAnsi="等线(中文正文)" w:cs="等线(中文正文)" w:eastAsia="等线(中文正文)"/>
          <w:b w:val="false"/>
          <w:i w:val="false"/>
          <w:sz w:val="20"/>
        </w:rPr>
        <w:t>发言人1：数字世界中，芯片和能源提供了智能规模的提升，基础设施将电能转化为token的效率提高，进而促进AI生产力的转化。在物理世界层面，我们设想它类似于skating lord，并且当前在机器人大会等会议上深入探讨了规模化（scaling）问题，如模型规模增大、数据量增加、评测范围扩大及泛化能力提升等。对于下一代面向大规模的基础设施构建，应当提供一套能支持机器与机器之间交互、不断迭代能力的飞轮系统。</w:t>
      </w:r>
    </w:p>
    <w:p>
      <w:r>
        <w:rPr>
          <w:rFonts w:ascii="等线(中文正文)" w:hAnsi="等线(中文正文)" w:cs="等线(中文正文)" w:eastAsia="等线(中文正文)"/>
          <w:b w:val="false"/>
          <w:i w:val="false"/>
          <w:sz w:val="20"/>
        </w:rPr>
        <w:t/>
      </w:r>
    </w:p>
    <w:p>
      <w:pPr>
        <w:pStyle w:val="ab"/>
      </w:pPr>
      <w:r>
        <w:t>大语言模型的发展与具身智能的发展有何相似之处？</w:t>
      </w:r>
    </w:p>
    <w:p>
      <w:r>
        <w:rPr>
          <w:rFonts w:ascii="等线(中文正文)" w:hAnsi="等线(中文正文)" w:cs="等线(中文正文)" w:eastAsia="等线(中文正文)"/>
          <w:b w:val="false"/>
          <w:i w:val="false"/>
          <w:sz w:val="20"/>
        </w:rPr>
        <w:t>发言人1：大语言模型的发展需要经过有样本监督学习、预训练、微调以及强化学习的步骤来增强能力。具身智能的发展过程也类似，包括pretrain阶段，利用广泛数据进行retrain以提高泛化性，接着fine-tune部分优质数据，并探索无样本强化学习的可能性，算法演进方向与大语言模型有相似之处。</w:t>
      </w:r>
    </w:p>
    <w:p>
      <w:r>
        <w:rPr>
          <w:rFonts w:ascii="等线(中文正文)" w:hAnsi="等线(中文正文)" w:cs="等线(中文正文)" w:eastAsia="等线(中文正文)"/>
          <w:b w:val="false"/>
          <w:i w:val="false"/>
          <w:sz w:val="20"/>
        </w:rPr>
        <w:t/>
      </w:r>
    </w:p>
    <w:p>
      <w:pPr>
        <w:pStyle w:val="ab"/>
      </w:pPr>
      <w:r>
        <w:t>针对物理世界基础设施的需求，有何特点和挑战？目前在构建面向大规模具身强化学习的基础设施方面取得了哪些进展？</w:t>
      </w:r>
    </w:p>
    <w:p>
      <w:r>
        <w:rPr>
          <w:rFonts w:ascii="等线(中文正文)" w:hAnsi="等线(中文正文)" w:cs="等线(中文正文)" w:eastAsia="等线(中文正文)"/>
          <w:b w:val="false"/>
          <w:i w:val="false"/>
          <w:sz w:val="20"/>
        </w:rPr>
        <w:t>发言人1：物理世界基础设施与数字世界不同，尤其在具身智能方面，需要端云协同的软硬件体系，包括渲染、训练、推理、端侧交互等环节。此外，物理世界的数据获取成本高、实时性受限，因此需要专门针对物理世界的软件基础设施和数据基础设施，例如具身模型的预训练、后训练及其综合体系。我们开发了一套开源好用的框架——Ryffle，涵盖了用户层、任务层、执行层、调度层和通信层，以及硬件层，并将GPU和机器人作为核心部件进行管理调度。该框架支持多种调度模式、主流具身模型及算法，并实现了全异步流水线，能够高效利用GPU资源，支持仿真、推理和全异步流水线，已被多家企业采纳使用，并在3C产业取得了接近100%的成功率。</w:t>
      </w:r>
    </w:p>
    <w:p>
      <w:r>
        <w:rPr>
          <w:rFonts w:ascii="等线(中文正文)" w:hAnsi="等线(中文正文)" w:cs="等线(中文正文)" w:eastAsia="等线(中文正文)"/>
          <w:b w:val="false"/>
          <w:i w:val="false"/>
          <w:sz w:val="20"/>
        </w:rPr>
        <w:t/>
      </w:r>
    </w:p>
    <w:p>
      <w:pPr>
        <w:pStyle w:val="ab"/>
      </w:pPr>
      <w:r>
        <w:t>数据采集和处理对于具身智能的发展有多重要，以及如何优化这一环节？</w:t>
      </w:r>
    </w:p>
    <w:p>
      <w:r>
        <w:rPr>
          <w:rFonts w:ascii="等线(中文正文)" w:hAnsi="等线(中文正文)" w:cs="等线(中文正文)" w:eastAsia="等线(中文正文)"/>
          <w:b w:val="false"/>
          <w:i w:val="false"/>
          <w:sz w:val="20"/>
        </w:rPr>
        <w:t>发言人1：数据采集和处理在具身智能中至关重要，相比大语言模型，具身智能所需的数据量大六数量级。目前主要依赖于真机作业回流的数据、穿戴式设备数据、仿真和视频数据等，通过优化数据配比、降低成本、提高成功率，研发能够泛化至不同场景的数据跨本体能力。同时，联合学术界和企业建立评价体系，如robot challenge，利用失败案例优化模型训练，并逐步构建复杂地形自主导航的统一评测体系。</w:t>
      </w:r>
    </w:p>
    <w:p>
      <w:r>
        <w:rPr>
          <w:rFonts w:ascii="等线(中文正文)" w:hAnsi="等线(中文正文)" w:cs="等线(中文正文)" w:eastAsia="等线(中文正文)"/>
          <w:b w:val="false"/>
          <w:i w:val="false"/>
          <w:sz w:val="20"/>
        </w:rPr>
        <w:t/>
      </w:r>
    </w:p>
    <w:p>
      <w:pPr>
        <w:pStyle w:val="ab"/>
      </w:pPr>
      <w:r>
        <w:t>在机器人技术的发展中，强化学习和多机交互有何重要意义？</w:t>
      </w:r>
    </w:p>
    <w:p>
      <w:r>
        <w:rPr>
          <w:rFonts w:ascii="等线(中文正文)" w:hAnsi="等线(中文正文)" w:cs="等线(中文正文)" w:eastAsia="等线(中文正文)"/>
          <w:b w:val="false"/>
          <w:i w:val="false"/>
          <w:sz w:val="20"/>
        </w:rPr>
        <w:t>发言人1：强化学习在多机环境中的应用能够使机器人之间互相学习，实现无需人工干预的协同工作，这是算法范式上的重要进步。同时，持续关注算力和数据基础设施建设，推动开源体系的发展，对于整个行业能力的提升至关重要。</w:t>
      </w:r>
    </w:p>
    <w:p>
      <w:r>
        <w:rPr>
          <w:rFonts w:ascii="等线(中文正文)" w:hAnsi="等线(中文正文)" w:cs="等线(中文正文)" w:eastAsia="等线(中文正文)"/>
          <w:b w:val="false"/>
          <w:i w:val="false"/>
          <w:sz w:val="20"/>
        </w:rPr>
        <w:t/>
      </w:r>
    </w:p>
    <w:p>
      <w:pPr>
        <w:pStyle w:val="ab"/>
      </w:pPr>
      <w:r>
        <w:t>帕西尼在具身感知和物理AI领域的创新体现在哪些方面？</w:t>
      </w:r>
    </w:p>
    <w:p>
      <w:r>
        <w:rPr>
          <w:rFonts w:ascii="等线(中文正文)" w:hAnsi="等线(中文正文)" w:cs="等线(中文正文)" w:eastAsia="等线(中文正文)"/>
          <w:b w:val="false"/>
          <w:i w:val="false"/>
          <w:sz w:val="20"/>
        </w:rPr>
        <w:t>发言人1：帕西尼作为具身感知与物理AI领域的领军企业，通过具身感知技术推动智能生产力的提升。公司坚信具身智能是实现全面部署智慧生产力的关键，并在触觉感知技术方面取得突破，形成了对具身智能核心组件的量产化优势，开发了如全身力学套件、力触觉套件等产品，以实现规模化部署与获取触觉信息，从而让机器人更好地理解物理世界并提升其在真实环境中的交互与任务完成能力。</w:t>
      </w:r>
    </w:p>
    <w:p>
      <w:r>
        <w:rPr>
          <w:rFonts w:ascii="等线(中文正文)" w:hAnsi="等线(中文正文)" w:cs="等线(中文正文)" w:eastAsia="等线(中文正文)"/>
          <w:b w:val="false"/>
          <w:i w:val="false"/>
          <w:sz w:val="20"/>
        </w:rPr>
        <w:t/>
      </w:r>
    </w:p>
    <w:p>
      <w:pPr>
        <w:pStyle w:val="ab"/>
      </w:pPr>
      <w:r>
        <w:t>触觉在机器人技术中扮演了什么样的角色？</w:t>
      </w:r>
    </w:p>
    <w:p>
      <w:r>
        <w:rPr>
          <w:rFonts w:ascii="等线(中文正文)" w:hAnsi="等线(中文正文)" w:cs="等线(中文正文)" w:eastAsia="等线(中文正文)"/>
          <w:b w:val="false"/>
          <w:i w:val="false"/>
          <w:sz w:val="20"/>
        </w:rPr>
        <w:t>发言人1：触觉在机器人技术中是底层且重要的，它提供了三维力、扭矩力、纹理和形状等多种维的触觉信息，让机器人能实时感知物理世界并转化成内化经验。触觉的稳定性和准确性使得机器人能在各种环境下执行任务，不受光照、环境变化等因素影响，相比视觉等其他模态具有显著优势。此外，触觉已广泛应用于各类模型和算法中，成为提升机器人在真实世界中交互成功率的关键因素。</w:t>
      </w:r>
    </w:p>
    <w:p>
      <w:r>
        <w:rPr>
          <w:rFonts w:ascii="等线(中文正文)" w:hAnsi="等线(中文正文)" w:cs="等线(中文正文)" w:eastAsia="等线(中文正文)"/>
          <w:b w:val="false"/>
          <w:i w:val="false"/>
          <w:sz w:val="20"/>
        </w:rPr>
        <w:t/>
      </w:r>
    </w:p>
    <w:p>
      <w:pPr>
        <w:pStyle w:val="ab"/>
      </w:pPr>
      <w:r>
        <w:t>帕西尼在触觉感知技术方面取得了哪些具体成果？</w:t>
      </w:r>
    </w:p>
    <w:p>
      <w:r>
        <w:rPr>
          <w:rFonts w:ascii="等线(中文正文)" w:hAnsi="等线(中文正文)" w:cs="等线(中文正文)" w:eastAsia="等线(中文正文)"/>
          <w:b w:val="false"/>
          <w:i w:val="false"/>
          <w:sz w:val="20"/>
        </w:rPr>
        <w:t>发言人1：帕西尼自研了名为“fuse”的芯片，从半导体设计开始，实现了芯片到封装的自主生产，并以此构建出一整套具身智能感知组件和产品。例如，6D阵列芯片可应用于触觉模组和扭矩力传感器，提供高速、高精度的力学信号测量，同时具备类脑编码、压缩传输以及双抗干扰等特性。此外，第四代的fuse芯片已应用于全身力触觉套件，实现从指尖到主体的全方位物理感知系统的搭建，该系统首次搭载在重型机器人T800上，实现了动态行走算法的自动切换，展示了触觉技术在机器人领域的重要创新与应用。</w:t>
      </w:r>
    </w:p>
    <w:p>
      <w:r>
        <w:rPr>
          <w:rFonts w:ascii="等线(中文正文)" w:hAnsi="等线(中文正文)" w:cs="等线(中文正文)" w:eastAsia="等线(中文正文)"/>
          <w:b w:val="false"/>
          <w:i w:val="false"/>
          <w:sz w:val="20"/>
        </w:rPr>
        <w:t/>
      </w:r>
    </w:p>
    <w:p>
      <w:pPr>
        <w:pStyle w:val="ab"/>
      </w:pPr>
      <w:r>
        <w:t>在本次展览中，你们的产品有哪些亮点？</w:t>
      </w:r>
    </w:p>
    <w:p>
      <w:r>
        <w:rPr>
          <w:rFonts w:ascii="等线(中文正文)" w:hAnsi="等线(中文正文)" w:cs="等线(中文正文)" w:eastAsia="等线(中文正文)"/>
          <w:b w:val="false"/>
          <w:i w:val="false"/>
          <w:sz w:val="20"/>
        </w:rPr>
        <w:t>发言人1：我们这次展出的传感器模组搭载了第六代4D触觉芯片，从第三代迭代到第四代，产品性能不断提升。我们将在B馆的帕西尼展台展示这些产品，并且预计今年的芯片量产将达到500万片，远超过去一年的100万片。</w:t>
      </w:r>
    </w:p>
    <w:p>
      <w:r>
        <w:rPr>
          <w:rFonts w:ascii="等线(中文正文)" w:hAnsi="等线(中文正文)" w:cs="等线(中文正文)" w:eastAsia="等线(中文正文)"/>
          <w:b w:val="false"/>
          <w:i w:val="false"/>
          <w:sz w:val="20"/>
        </w:rPr>
        <w:t/>
      </w:r>
    </w:p>
    <w:p>
      <w:pPr>
        <w:pStyle w:val="ab"/>
      </w:pPr>
      <w:r>
        <w:t>你们如何构建数据采集能力？</w:t>
      </w:r>
    </w:p>
    <w:p>
      <w:r>
        <w:rPr>
          <w:rFonts w:ascii="等线(中文正文)" w:hAnsi="等线(中文正文)" w:cs="等线(中文正文)" w:eastAsia="等线(中文正文)"/>
          <w:b w:val="false"/>
          <w:i w:val="false"/>
          <w:sz w:val="20"/>
        </w:rPr>
        <w:t>发言人1：我们开发了结合视觉和触觉的数据采集手套，不仅适用于自家产品，还能与市面上其他设备兼容，提供长时间、稳定的数据采集能力。此外，我们的触觉传感器和关键角度传感器能为机器人系统提供实时同步的触觉与视觉数据。</w:t>
      </w:r>
    </w:p>
    <w:p>
      <w:r>
        <w:rPr>
          <w:rFonts w:ascii="等线(中文正文)" w:hAnsi="等线(中文正文)" w:cs="等线(中文正文)" w:eastAsia="等线(中文正文)"/>
          <w:b w:val="false"/>
          <w:i w:val="false"/>
          <w:sz w:val="20"/>
        </w:rPr>
        <w:t/>
      </w:r>
    </w:p>
    <w:p>
      <w:pPr>
        <w:pStyle w:val="ab"/>
      </w:pPr>
      <w:r>
        <w:t>帕西尼在生态合作方面有哪些举措？</w:t>
      </w:r>
    </w:p>
    <w:p>
      <w:r>
        <w:rPr>
          <w:rFonts w:ascii="等线(中文正文)" w:hAnsi="等线(中文正文)" w:cs="等线(中文正文)" w:eastAsia="等线(中文正文)"/>
          <w:b w:val="false"/>
          <w:i w:val="false"/>
          <w:sz w:val="20"/>
        </w:rPr>
        <w:t>发言人1：帕西尼积极寻找具有触觉需求的伙伴，并已拥有近两百位合作伙伴，包括行业头部企业和新兴公司。我们还成立了相关基金进行投资，并作为服务所有智能伙伴的平台，与众多股东如比亚迪、京东及三大汽车公司等共同推动产业联动与创新。</w:t>
      </w:r>
    </w:p>
    <w:p>
      <w:r>
        <w:rPr>
          <w:rFonts w:ascii="等线(中文正文)" w:hAnsi="等线(中文正文)" w:cs="等线(中文正文)" w:eastAsia="等线(中文正文)"/>
          <w:b w:val="false"/>
          <w:i w:val="false"/>
          <w:sz w:val="20"/>
        </w:rPr>
        <w:t/>
      </w:r>
    </w:p>
    <w:p>
      <w:pPr>
        <w:pStyle w:val="ab"/>
      </w:pPr>
      <w:r>
        <w:t>帕西尼在农业领域的应用是什么？</w:t>
      </w:r>
    </w:p>
    <w:p>
      <w:r>
        <w:rPr>
          <w:rFonts w:ascii="等线(中文正文)" w:hAnsi="等线(中文正文)" w:cs="等线(中文正文)" w:eastAsia="等线(中文正文)"/>
          <w:b w:val="false"/>
          <w:i w:val="false"/>
          <w:sz w:val="20"/>
        </w:rPr>
        <w:t>发言人1：帕西尼专注于农业垂类的大模型开发，为全球农产品提供大脑般的决策支持。通过AI技术，让农业机械具备思考能力，替代人力进行决策，尤其在应对老龄化人口、劳动力短缺以及极端天气增多等挑战时，农业AI将发挥巨大作用。</w:t>
      </w:r>
    </w:p>
    <w:p>
      <w:r>
        <w:rPr>
          <w:rFonts w:ascii="等线(中文正文)" w:hAnsi="等线(中文正文)" w:cs="等线(中文正文)" w:eastAsia="等线(中文正文)"/>
          <w:b w:val="false"/>
          <w:i w:val="false"/>
          <w:sz w:val="20"/>
        </w:rPr>
        <w:t/>
      </w:r>
    </w:p>
    <w:p>
      <w:pPr>
        <w:pStyle w:val="ab"/>
      </w:pPr>
      <w:r>
        <w:t>农业为何能在AI时代受益最大？</w:t>
      </w:r>
    </w:p>
    <w:p>
      <w:r>
        <w:rPr>
          <w:rFonts w:ascii="等线(中文正文)" w:hAnsi="等线(中文正文)" w:cs="等线(中文正文)" w:eastAsia="等线(中文正文)"/>
          <w:b w:val="false"/>
          <w:i w:val="false"/>
          <w:sz w:val="20"/>
        </w:rPr>
        <w:t>发言人1：农业具有后发先至的优势，传统农业基础薄弱，新技术应用更容易取得显著提升；全球农业理论研究发达，但实际产业落地存在鸿沟，这使得AI技术迭代产生的效率提升空间更大；同时，各国对农业的重视程度高，补贴政策等成本平衡机制有利于农业机器人规模化应用。</w:t>
      </w:r>
    </w:p>
    <w:p>
      <w:r>
        <w:rPr>
          <w:rFonts w:ascii="等线(中文正文)" w:hAnsi="等线(中文正文)" w:cs="等线(中文正文)" w:eastAsia="等线(中文正文)"/>
          <w:b w:val="false"/>
          <w:i w:val="false"/>
          <w:sz w:val="20"/>
        </w:rPr>
        <w:t/>
      </w:r>
    </w:p>
    <w:p>
      <w:pPr>
        <w:pStyle w:val="ab"/>
      </w:pPr>
      <w:r>
        <w:t>农业为何可能是机器人落地的优选场景？</w:t>
      </w:r>
    </w:p>
    <w:p>
      <w:r>
        <w:rPr>
          <w:rFonts w:ascii="等线(中文正文)" w:hAnsi="等线(中文正文)" w:cs="等线(中文正文)" w:eastAsia="等线(中文正文)"/>
          <w:b w:val="false"/>
          <w:i w:val="false"/>
          <w:sz w:val="20"/>
        </w:rPr>
        <w:t>发言人1：农业在机器人落地方面具有显著优势，主要体现在市场规模大且天花板高。目前，农业领域的主力品类市场巨大，甚至能与新能源、汽车等小型或中型行业相媲美，而此类产品的市场需求广泛，应用场景多样，为机器人规模化批量化交付提供了可能。</w:t>
      </w:r>
    </w:p>
    <w:p>
      <w:r>
        <w:rPr>
          <w:rFonts w:ascii="等线(中文正文)" w:hAnsi="等线(中文正文)" w:cs="等线(中文正文)" w:eastAsia="等线(中文正文)"/>
          <w:b w:val="false"/>
          <w:i w:val="false"/>
          <w:sz w:val="20"/>
        </w:rPr>
        <w:t/>
      </w:r>
    </w:p>
    <w:p>
      <w:pPr>
        <w:pStyle w:val="ab"/>
      </w:pPr>
      <w:r>
        <w:t>有哪些数据支撑农业机器人市场的增长趋势？</w:t>
      </w:r>
    </w:p>
    <w:p>
      <w:r>
        <w:rPr>
          <w:rFonts w:ascii="等线(中文正文)" w:hAnsi="等线(中文正文)" w:cs="等线(中文正文)" w:eastAsia="等线(中文正文)"/>
          <w:b w:val="false"/>
          <w:i w:val="false"/>
          <w:sz w:val="20"/>
        </w:rPr>
        <w:t>发言人1：首先，我们与多家公司联合拿下了海外2万台机器人的订单，分布在16个场景，每个场景需求量超过1000台，这证明了市场需求的存在。其次，权威机构预测在未来五年内，全球农业机器人市场将持续快速增长，智能装备如机器人在全球范围内持续高速增长，案例数量也逐年攀升。此外，地缘政治和人口结构的变化促使各国重视农业自给自足能力，进一步推动了农业机器人的需求增长。</w:t>
      </w:r>
    </w:p>
    <w:p>
      <w:r>
        <w:rPr>
          <w:rFonts w:ascii="等线(中文正文)" w:hAnsi="等线(中文正文)" w:cs="等线(中文正文)" w:eastAsia="等线(中文正文)"/>
          <w:b w:val="false"/>
          <w:i w:val="false"/>
          <w:sz w:val="20"/>
        </w:rPr>
        <w:t/>
      </w:r>
    </w:p>
    <w:p>
      <w:pPr>
        <w:pStyle w:val="ab"/>
      </w:pPr>
      <w:r>
        <w:t>麦麦科技在农业机器人行业的定位和努力方向是什么？</w:t>
      </w:r>
    </w:p>
    <w:p>
      <w:r>
        <w:rPr>
          <w:rFonts w:ascii="等线(中文正文)" w:hAnsi="等线(中文正文)" w:cs="等线(中文正文)" w:eastAsia="等线(中文正文)"/>
          <w:b w:val="false"/>
          <w:i w:val="false"/>
          <w:sz w:val="20"/>
        </w:rPr>
        <w:t>发言人1：麦麦科技作为行业唯一的小巨人企业，专注于提供机器人“大脑”，即AI模型，并联合了科研机构、本体公司以及供应链公司等多方力量，致力于从全生态角度服务农业机器人的需求，解决农业主体的实际问题。目前，麦麦科技已与超过20家头部机器人公司和特种机器人公司以及7家具备技术和供应链能力的伙伴进行合作，计划通过组织能力开放、数据开放和深度场景开放等方式，为行业提供更好的服务和支持。</w:t>
      </w:r>
    </w:p>
    <w:p>
      <w:r>
        <w:rPr>
          <w:rFonts w:ascii="等线(中文正文)" w:hAnsi="等线(中文正文)" w:cs="等线(中文正文)" w:eastAsia="等线(中文正文)"/>
          <w:b w:val="false"/>
          <w:i w:val="false"/>
          <w:sz w:val="20"/>
        </w:rPr>
        <w:t/>
      </w:r>
    </w:p>
    <w:p>
      <w:pPr>
        <w:pStyle w:val="ab"/>
      </w:pPr>
      <w:r>
        <w:t>麦麦科技接下来三年将如何支持农业机器人的发展？</w:t>
      </w:r>
    </w:p>
    <w:p>
      <w:r>
        <w:rPr>
          <w:rFonts w:ascii="等线(中文正文)" w:hAnsi="等线(中文正文)" w:cs="等线(中文正文)" w:eastAsia="等线(中文正文)"/>
          <w:b w:val="false"/>
          <w:i w:val="false"/>
          <w:sz w:val="20"/>
        </w:rPr>
        <w:t>发言人1：接下来三年，麦麦科技将开放组织能力、全量数据和深度场景资源，为不低于十款机器人提供50%的研发费用分摊，并主导每年两个数据农业专业数据采集场和机器人训练中心的建设。同时，积极寻找客户定义场景，与合作伙伴共同推进农业机器人在不同品类上的实测和批量交付，以期在未来几年内实现多个场景的机器人批量交付目标，构建起涵盖多家企业、百万规模以上的农业机器人产业生态链。</w:t>
      </w:r>
    </w:p>
    <w:p>
      <w:r>
        <w:rPr>
          <w:rFonts w:ascii="等线(中文正文)" w:hAnsi="等线(中文正文)" w:cs="等线(中文正文)" w:eastAsia="等线(中文正文)"/>
          <w:b w:val="false"/>
          <w:i w:val="false"/>
          <w:sz w:val="20"/>
        </w:rPr>
        <w:t/>
      </w:r>
    </w:p>
    <w:p>
      <w:pPr>
        <w:pStyle w:val="ab"/>
      </w:pPr>
      <w:r>
        <w:t>在AI技术的发展中，为什么人类大脑的能效极限在物理AGI的实现中具有重要意义？</w:t>
      </w:r>
    </w:p>
    <w:p>
      <w:r>
        <w:rPr>
          <w:rFonts w:ascii="等线(中文正文)" w:hAnsi="等线(中文正文)" w:cs="等线(中文正文)" w:eastAsia="等线(中文正文)"/>
          <w:b w:val="false"/>
          <w:i w:val="false"/>
          <w:sz w:val="20"/>
        </w:rPr>
        <w:t>发言人1：因为相较于最先进的AI芯片，在云端计算时的能效比，人类大脑只需20瓦特就能发挥强大的泛化能力和智能。如果持续使用上一代的大模型技术，如transformer架构和世界模型，要实现真正意义上的物理AGI，可能需要的算力和数据维度远超数字世界的AGI需求。这意味着即使汇聚全人类的电力，可能也不足以支撑大模型达到这一目标。</w:t>
      </w:r>
    </w:p>
    <w:p>
      <w:r>
        <w:rPr>
          <w:rFonts w:ascii="等线(中文正文)" w:hAnsi="等线(中文正文)" w:cs="等线(中文正文)" w:eastAsia="等线(中文正文)"/>
          <w:b w:val="false"/>
          <w:i w:val="false"/>
          <w:sz w:val="20"/>
        </w:rPr>
        <w:t/>
      </w:r>
    </w:p>
    <w:p>
      <w:pPr>
        <w:pStyle w:val="ab"/>
      </w:pPr>
      <w:r>
        <w:t>类脑架构如何借鉴人类大脑的设计来提升机器学习模型的表现？</w:t>
      </w:r>
    </w:p>
    <w:p>
      <w:r>
        <w:rPr>
          <w:rFonts w:ascii="等线(中文正文)" w:hAnsi="等线(中文正文)" w:cs="等线(中文正文)" w:eastAsia="等线(中文正文)"/>
          <w:b w:val="false"/>
          <w:i w:val="false"/>
          <w:sz w:val="20"/>
        </w:rPr>
        <w:t>发言人1：我们提出了类脑架构，参考了人类大脑神经元的设计（脉冲神经网络机制）、链接方式（动态多向激励）以及不同区域分工完成不同任务的方式。通过这种方式，我们构建了一个具有记忆功能、快速反应、可持续学习和发展的类脑架构，并且能够实现端到端的VIV大模型应用。</w:t>
      </w:r>
    </w:p>
    <w:p>
      <w:r>
        <w:rPr>
          <w:rFonts w:ascii="等线(中文正文)" w:hAnsi="等线(中文正文)" w:cs="等线(中文正文)" w:eastAsia="等线(中文正文)"/>
          <w:b w:val="false"/>
          <w:i w:val="false"/>
          <w:sz w:val="20"/>
        </w:rPr>
        <w:t/>
      </w:r>
    </w:p>
    <w:p>
      <w:pPr>
        <w:pStyle w:val="ab"/>
      </w:pPr>
      <w:r>
        <w:t>类脑架构在机器人智能反应上的表现如何？类脑架构在时序记忆和重复性任务方面有何突破？</w:t>
      </w:r>
    </w:p>
    <w:p>
      <w:r>
        <w:rPr>
          <w:rFonts w:ascii="等线(中文正文)" w:hAnsi="等线(中文正文)" w:cs="等线(中文正文)" w:eastAsia="等线(中文正文)"/>
          <w:b w:val="false"/>
          <w:i w:val="false"/>
          <w:sz w:val="20"/>
        </w:rPr>
        <w:t>发言人1：类脑架构使得机器人拥有毫秒级本能反应，在碰撞恢复测试中展示了连贯的生存行为。例如，爱宝机械臂能在20毫秒内触发保护性撤回，避免硬撞，并能根据接触信息实时规划绕行路径，反应速度比人类眨眼快五倍以上，成功率高达54.8%，而传统模型则无法完成此类任务。类脑架构让机器人具备了时间序列的记忆能力，能够自主完成如摇三次试管这样的重复性时序任务。搭载类脑模型后，机械臂运动稳定性提高，能耗大幅降低，平均功耗仅为0.4瓦，有利于开发长时间续航的移动机器人。</w:t>
      </w:r>
    </w:p>
    <w:p>
      <w:r>
        <w:rPr>
          <w:rFonts w:ascii="等线(中文正文)" w:hAnsi="等线(中文正文)" w:cs="等线(中文正文)" w:eastAsia="等线(中文正文)"/>
          <w:b w:val="false"/>
          <w:i w:val="false"/>
          <w:sz w:val="20"/>
        </w:rPr>
        <w:t/>
      </w:r>
    </w:p>
    <w:p>
      <w:pPr>
        <w:pStyle w:val="ab"/>
      </w:pPr>
      <w:r>
        <w:t>类脑模型的研发进展和开源情况如何？</w:t>
      </w:r>
    </w:p>
    <w:p>
      <w:r>
        <w:rPr>
          <w:rFonts w:ascii="等线(中文正文)" w:hAnsi="等线(中文正文)" w:cs="等线(中文正文)" w:eastAsia="等线(中文正文)"/>
          <w:b w:val="false"/>
          <w:i w:val="false"/>
          <w:sz w:val="20"/>
        </w:rPr>
        <w:t>发言人1：我们已将最新的euro VOA模型开源至制平方的阿尔法brain platform，并提供了测试benchmark和部署代码，方便大家使用和开发基于该模型的场景化应用。同时，在生物制药领域也取得了新突破，并与康龙化成签订了战略合作协议。</w:t>
      </w:r>
    </w:p>
    <w:p>
      <w:r>
        <w:rPr>
          <w:rFonts w:ascii="等线(中文正文)" w:hAnsi="等线(中文正文)" w:cs="等线(中文正文)" w:eastAsia="等线(中文正文)"/>
          <w:b w:val="false"/>
          <w:i w:val="false"/>
          <w:sz w:val="20"/>
        </w:rPr>
        <w:t/>
      </w:r>
    </w:p>
    <w:p>
      <w:pPr>
        <w:pStyle w:val="ab"/>
      </w:pPr>
      <w:r>
        <w:t>制片方在真实场景中机器人应用的进展怎样？</w:t>
      </w:r>
    </w:p>
    <w:p>
      <w:r>
        <w:rPr>
          <w:rFonts w:ascii="等线(中文正文)" w:hAnsi="等线(中文正文)" w:cs="等线(中文正文)" w:eastAsia="等线(中文正文)"/>
          <w:b w:val="false"/>
          <w:i w:val="false"/>
          <w:sz w:val="20"/>
        </w:rPr>
        <w:t>发言人1：制片方已经在高端汽车制造、半导体PCB、生物制药机房AI训练等多个真实场景获得了闭环应用，且在行业内的应用数量和规模处于领先地位。机器人已逐步从半结构化的工业服务场景进入公众服务和家庭服务，并在公共服务场所如机场、交通枢纽等提供真实生产力型和服务型的应用。</w:t>
      </w:r>
    </w:p>
    <w:p>
      <w:r>
        <w:rPr>
          <w:rFonts w:ascii="等线(中文正文)" w:hAnsi="等线(中文正文)" w:cs="等线(中文正文)" w:eastAsia="等线(中文正文)"/>
          <w:b w:val="false"/>
          <w:i w:val="false"/>
          <w:sz w:val="20"/>
        </w:rPr>
        <w:t/>
      </w:r>
    </w:p>
    <w:p>
      <w:pPr>
        <w:pStyle w:val="ab"/>
      </w:pPr>
      <w:r>
        <w:t>光轮智能的创立初衷和目标是什么？</w:t>
      </w:r>
    </w:p>
    <w:p>
      <w:r>
        <w:rPr>
          <w:rFonts w:ascii="等线(中文正文)" w:hAnsi="等线(中文正文)" w:cs="等线(中文正文)" w:eastAsia="等线(中文正文)"/>
          <w:b w:val="false"/>
          <w:i w:val="false"/>
          <w:sz w:val="20"/>
        </w:rPr>
        <w:t>发言人1：光轮智能创立的初衷是为机器人搭建一个基于数据、仿真和评测的基础设施，让机器人能够像人一样学习。目标是打造全球最大的物理AI持续学习的数据评测基础设施，目前已成为全世界第一个最深的数据独角兽，并交付了规模最大的物理AI数据评测基础设施。</w:t>
      </w:r>
    </w:p>
    <w:p>
      <w:r>
        <w:rPr>
          <w:rFonts w:ascii="等线(中文正文)" w:hAnsi="等线(中文正文)" w:cs="等线(中文正文)" w:eastAsia="等线(中文正文)"/>
          <w:b w:val="false"/>
          <w:i w:val="false"/>
          <w:sz w:val="20"/>
        </w:rPr>
        <w:t/>
      </w:r>
    </w:p>
    <w:p>
      <w:pPr>
        <w:pStyle w:val="ab"/>
      </w:pPr>
      <w:r>
        <w:t>光轮智能的核心产品有哪些？</w:t>
      </w:r>
    </w:p>
    <w:p>
      <w:r>
        <w:rPr>
          <w:rFonts w:ascii="等线(中文正文)" w:hAnsi="等线(中文正文)" w:cs="等线(中文正文)" w:eastAsia="等线(中文正文)"/>
          <w:b w:val="false"/>
          <w:i w:val="false"/>
          <w:sz w:val="20"/>
        </w:rPr>
        <w:t>发言人1：光轮智能的核心产品包括三个部分：一是高质量且规模最大的人类数据集——Eagle Sweet；二是仿真评测产品——Robot finals，这是全球质量最高、规模最大且被众多世界顶级模型共用的一套考题；三是真机部署平台——Robert stack，它帮助合作伙伴将大模型快速部署到机器人上，并在实际场景中持续学习和优化。</w:t>
      </w:r>
    </w:p>
    <w:p>
      <w:r>
        <w:rPr>
          <w:rFonts w:ascii="等线(中文正文)" w:hAnsi="等线(中文正文)" w:cs="等线(中文正文)" w:eastAsia="等线(中文正文)"/>
          <w:b w:val="false"/>
          <w:i w:val="false"/>
          <w:sz w:val="20"/>
        </w:rPr>
        <w:t/>
      </w:r>
    </w:p>
    <w:p>
      <w:pPr>
        <w:pStyle w:val="ab"/>
      </w:pPr>
      <w:r>
        <w:t>光轮智能的合作对象有哪些？</w:t>
      </w:r>
    </w:p>
    <w:p>
      <w:r>
        <w:rPr>
          <w:rFonts w:ascii="等线(中文正文)" w:hAnsi="等线(中文正文)" w:cs="等线(中文正文)" w:eastAsia="等线(中文正文)"/>
          <w:b w:val="false"/>
          <w:i w:val="false"/>
          <w:sz w:val="20"/>
        </w:rPr>
        <w:t>发言人1：光轮智能与全球众多优秀的物理AI企业合作，包括英伟达、OpenAI、DJI等机器人本体公司，以及如字节跳动、阿里巴巴千问等大模型公司，还有像丰田、三星这样的大型制造业企业和Piko、5G等硬件供应商。</w:t>
      </w:r>
    </w:p>
    <w:p>
      <w:r>
        <w:rPr>
          <w:rFonts w:ascii="等线(中文正文)" w:hAnsi="等线(中文正文)" w:cs="等线(中文正文)" w:eastAsia="等线(中文正文)"/>
          <w:b w:val="false"/>
          <w:i w:val="false"/>
          <w:sz w:val="20"/>
        </w:rPr>
        <w:t/>
      </w:r>
    </w:p>
    <w:p>
      <w:pPr>
        <w:pStyle w:val="ab"/>
      </w:pPr>
      <w:r>
        <w:t>机器人学习过程中如何模拟人类的试错过程？</w:t>
      </w:r>
    </w:p>
    <w:p>
      <w:r>
        <w:rPr>
          <w:rFonts w:ascii="等线(中文正文)" w:hAnsi="等线(中文正文)" w:cs="等线(中文正文)" w:eastAsia="等线(中文正文)"/>
          <w:b w:val="false"/>
          <w:i w:val="false"/>
          <w:sz w:val="20"/>
        </w:rPr>
        <w:t>发言人1：在机器人学习过程中，通过在仿真环境中构建可无限试错的虚拟世界，模拟真实物理世界的任务场景，并不断升级挑战，让机器人通过解决挑战和应对失败来实现试错和学习提升，从而达到类似人类试错的学习效果。</w:t>
      </w:r>
    </w:p>
    <w:p>
      <w:r>
        <w:rPr>
          <w:rFonts w:ascii="等线(中文正文)" w:hAnsi="等线(中文正文)" w:cs="等线(中文正文)" w:eastAsia="等线(中文正文)"/>
          <w:b w:val="false"/>
          <w:i w:val="false"/>
          <w:sz w:val="20"/>
        </w:rPr>
        <w:t/>
      </w:r>
    </w:p>
    <w:p>
      <w:pPr>
        <w:pStyle w:val="ab"/>
      </w:pPr>
      <w:r>
        <w:t>机器人在真实世界中部署后如何进行持续学习和改进？</w:t>
      </w:r>
    </w:p>
    <w:p>
      <w:r>
        <w:rPr>
          <w:rFonts w:ascii="等线(中文正文)" w:hAnsi="等线(中文正文)" w:cs="等线(中文正文)" w:eastAsia="等线(中文正文)"/>
          <w:b w:val="false"/>
          <w:i w:val="false"/>
          <w:sz w:val="20"/>
        </w:rPr>
        <w:t>发言人1：机器人在真实世界中上岗后，面临各种可能出现的问题和失败情况。这时，利用机器人 stack平台，可以基于光轮的数据和仿真评测能力，收集回环失败案例，进行纠错数据补充，并重新部署，形成循环往复的学习过程，不断提升机器人在实际工作中的表现。</w:t>
      </w:r>
    </w:p>
    <w:p>
      <w:r>
        <w:rPr>
          <w:rFonts w:ascii="等线(中文正文)" w:hAnsi="等线(中文正文)" w:cs="等线(中文正文)" w:eastAsia="等线(中文正文)"/>
          <w:b w:val="false"/>
          <w:i w:val="false"/>
          <w:sz w:val="20"/>
        </w:rPr>
        <w:t/>
      </w:r>
    </w:p>
    <w:p>
      <w:pPr>
        <w:pStyle w:val="ab"/>
      </w:pPr>
      <w:r>
        <w:t>为何要为机器人建立类似人类学习的闭环？</w:t>
      </w:r>
    </w:p>
    <w:p>
      <w:r>
        <w:rPr>
          <w:rFonts w:ascii="等线(中文正文)" w:hAnsi="等线(中文正文)" w:cs="等线(中文正文)" w:eastAsia="等线(中文正文)"/>
          <w:b w:val="false"/>
          <w:i w:val="false"/>
          <w:sz w:val="20"/>
        </w:rPr>
        <w:t>发言人1：我们从第一性原理出发，认为人形机器人或具身智能需要越来越像人，这就需要通过言传身教、试错以及在工作中实践学习等方式来提升能力。因此，为机器人建立一个可以从真实世界到仿真再到真实世界的持续学习闭环至关重要，其中包含了数据收集、模型训练、仿真评测及真实场景部署等多个环节。</w:t>
      </w:r>
    </w:p>
    <w:p>
      <w:r>
        <w:rPr>
          <w:rFonts w:ascii="等线(中文正文)" w:hAnsi="等线(中文正文)" w:cs="等线(中文正文)" w:eastAsia="等线(中文正文)"/>
          <w:b w:val="false"/>
          <w:i w:val="false"/>
          <w:sz w:val="20"/>
        </w:rPr>
        <w:t/>
      </w:r>
    </w:p>
    <w:p>
      <w:pPr>
        <w:pStyle w:val="ab"/>
      </w:pPr>
      <w:r>
        <w:t>数据的本质是什么？</w:t>
      </w:r>
    </w:p>
    <w:p>
      <w:r>
        <w:rPr>
          <w:rFonts w:ascii="等线(中文正文)" w:hAnsi="等线(中文正文)" w:cs="等线(中文正文)" w:eastAsia="等线(中文正文)"/>
          <w:b w:val="false"/>
          <w:i w:val="false"/>
          <w:sz w:val="20"/>
        </w:rPr>
        <w:t>发言人1：数据的底层是知识和认知，而认知的底层则源于文明。人类的文明是由群体智慧共同创造并记录的，而非单个人或一本书可以完成。</w:t>
      </w:r>
    </w:p>
    <w:p>
      <w:r>
        <w:rPr>
          <w:rFonts w:ascii="等线(中文正文)" w:hAnsi="等线(中文正文)" w:cs="等线(中文正文)" w:eastAsia="等线(中文正文)"/>
          <w:b w:val="false"/>
          <w:i w:val="false"/>
          <w:sz w:val="20"/>
        </w:rPr>
        <w:t/>
      </w:r>
    </w:p>
    <w:p>
      <w:pPr>
        <w:pStyle w:val="ab"/>
      </w:pPr>
      <w:r>
        <w:t>你们的愿景是什么？如何实现这个愿景？</w:t>
      </w:r>
    </w:p>
    <w:p>
      <w:r>
        <w:rPr>
          <w:rFonts w:ascii="等线(中文正文)" w:hAnsi="等线(中文正文)" w:cs="等线(中文正文)" w:eastAsia="等线(中文正文)"/>
          <w:b w:val="false"/>
          <w:i w:val="false"/>
          <w:sz w:val="20"/>
        </w:rPr>
        <w:t>发言人1：我们的愿景是构建一个开放生态，让机器人与人共同学习，通过真实世界和仿真世界的互动产生数据、知识和文明，并不断提升。首先需要的是共通的语言——标准的开放语言智能。光轮智能荣幸地参与定义全球最核心的两大标准：仿真标准newton和人类数据标准Eagle words。</w:t>
      </w:r>
    </w:p>
    <w:p>
      <w:r>
        <w:rPr>
          <w:rFonts w:ascii="等线(中文正文)" w:hAnsi="等线(中文正文)" w:cs="等线(中文正文)" w:eastAsia="等线(中文正文)"/>
          <w:b w:val="false"/>
          <w:i w:val="false"/>
          <w:sz w:val="20"/>
        </w:rPr>
        <w:t/>
      </w:r>
    </w:p>
    <w:p>
      <w:pPr>
        <w:pStyle w:val="ab"/>
      </w:pPr>
      <w:r>
        <w:t>为什么这些标准很重要？这些数据将用于何处？</w:t>
      </w:r>
    </w:p>
    <w:p>
      <w:r>
        <w:rPr>
          <w:rFonts w:ascii="等线(中文正文)" w:hAnsi="等线(中文正文)" w:cs="等线(中文正文)" w:eastAsia="等线(中文正文)"/>
          <w:b w:val="false"/>
          <w:i w:val="false"/>
          <w:sz w:val="20"/>
        </w:rPr>
        <w:t>发言人1：newton是一个基于GPU加速的核心开源物理仿真引擎标准，而Eagle words是最核心的人类数据标准。光轮智能致力于提供最高质量的人类数据规模化标准化服务，并代表中国参与这两个国际标准委员会。这些数据不仅用于机器人学习，更将成为人类与机器人共同创造的新文明的基础。同时强调，打造这样的生态需要全行业共同努力。</w:t>
      </w:r>
    </w:p>
    <w:p>
      <w:r>
        <w:rPr>
          <w:rFonts w:ascii="等线(中文正文)" w:hAnsi="等线(中文正文)" w:cs="等线(中文正文)" w:eastAsia="等线(中文正文)"/>
          <w:b w:val="false"/>
          <w:i w:val="false"/>
          <w:sz w:val="20"/>
        </w:rPr>
        <w:t/>
      </w:r>
    </w:p>
    <w:p>
      <w:pPr>
        <w:pStyle w:val="ab"/>
      </w:pPr>
      <w:r>
        <w:t>光轮智能在数据集方面有何成果？</w:t>
      </w:r>
    </w:p>
    <w:p>
      <w:r>
        <w:rPr>
          <w:rFonts w:ascii="等线(中文正文)" w:hAnsi="等线(中文正文)" w:cs="等线(中文正文)" w:eastAsia="等线(中文正文)"/>
          <w:b w:val="false"/>
          <w:i w:val="false"/>
          <w:sz w:val="20"/>
        </w:rPr>
        <w:t>发言人1：光轮智能推出了全世界最大规模和最高质量的10万小时全模态人类数据集Eagle speed open a hundred k，希望通过这个数据集推动整个行业基础的发展，并计划在未来五年内共建100亿小时具身数据。</w:t>
      </w:r>
    </w:p>
    <w:p>
      <w:r>
        <w:rPr>
          <w:rFonts w:ascii="等线(中文正文)" w:hAnsi="等线(中文正文)" w:cs="等线(中文正文)" w:eastAsia="等线(中文正文)"/>
          <w:b w:val="false"/>
          <w:i w:val="false"/>
          <w:sz w:val="20"/>
        </w:rPr>
        <w:t/>
      </w:r>
    </w:p>
    <w:p>
      <w:pPr>
        <w:pStyle w:val="ab"/>
      </w:pPr>
      <w:r>
        <w:t>艺术与科研结合有什么价值？</w:t>
      </w:r>
    </w:p>
    <w:p>
      <w:r>
        <w:rPr>
          <w:rFonts w:ascii="等线(中文正文)" w:hAnsi="等线(中文正文)" w:cs="等线(中文正文)" w:eastAsia="等线(中文正文)"/>
          <w:b w:val="false"/>
          <w:i w:val="false"/>
          <w:sz w:val="20"/>
        </w:rPr>
        <w:t>发言人1：艺术能赋予科研人员新的视角，如审美观念，并让科技工作带有更多人文关怀。通过跨界合作，艺术作品可以重新诠释科研素材，展现科研中的和谐与美，促进科研工作者对产品生命力及与人关系的深入思考。</w:t>
      </w:r>
    </w:p>
    <w:p>
      <w:r>
        <w:rPr>
          <w:rFonts w:ascii="等线(中文正文)" w:hAnsi="等线(中文正文)" w:cs="等线(中文正文)" w:eastAsia="等线(中文正文)"/>
          <w:b w:val="false"/>
          <w:i w:val="false"/>
          <w:sz w:val="20"/>
        </w:rPr>
        <w:t/>
      </w:r>
    </w:p>
    <w:p>
      <w:pPr>
        <w:pStyle w:val="ab"/>
      </w:pPr>
      <w:r>
        <w:t>在具身智能中，传感器的作用是什么？</w:t>
      </w:r>
    </w:p>
    <w:p>
      <w:r>
        <w:rPr>
          <w:rFonts w:ascii="等线(中文正文)" w:hAnsi="等线(中文正文)" w:cs="等线(中文正文)" w:eastAsia="等线(中文正文)"/>
          <w:b w:val="false"/>
          <w:i w:val="false"/>
          <w:sz w:val="20"/>
        </w:rPr>
        <w:t>发言人1：在具身智能中，传感器的作用是通过携带的各种感知通道构建其认知基础，帮助智能体感知外部世界的真实情况。不同的生物作品由于它们眼睛看到的频段和视角各异，对物理规则的理解也会有所不同，这就引出了一个问题：我们是否能够通过传感器覆盖所有的物理规则或现象。</w:t>
      </w:r>
    </w:p>
    <w:p>
      <w:r>
        <w:rPr>
          <w:rFonts w:ascii="等线(中文正文)" w:hAnsi="等线(中文正文)" w:cs="等线(中文正文)" w:eastAsia="等线(中文正文)"/>
          <w:b w:val="false"/>
          <w:i w:val="false"/>
          <w:sz w:val="20"/>
        </w:rPr>
        <w:t/>
      </w:r>
    </w:p>
    <w:p>
      <w:pPr>
        <w:pStyle w:val="ab"/>
      </w:pPr>
      <w:r>
        <w:t>具身智能的主要目的是什么？</w:t>
      </w:r>
    </w:p>
    <w:p>
      <w:r>
        <w:rPr>
          <w:rFonts w:ascii="等线(中文正文)" w:hAnsi="等线(中文正文)" w:cs="等线(中文正文)" w:eastAsia="等线(中文正文)"/>
          <w:b w:val="false"/>
          <w:i w:val="false"/>
          <w:sz w:val="20"/>
        </w:rPr>
        <w:t>发言人1：具身智能的主要目的是不仅能够运动和与外部交互，更重要的是要认知物理规则，并运用这些规则进行自主行动。例如，在一个实验中，通过设置看不见的磁场来观察机器能否通过闭环认知过程推演出看不见的物理现象，并与现实世界进行映射。</w:t>
      </w:r>
    </w:p>
    <w:p>
      <w:r>
        <w:rPr>
          <w:rFonts w:ascii="等线(中文正文)" w:hAnsi="等线(中文正文)" w:cs="等线(中文正文)" w:eastAsia="等线(中文正文)"/>
          <w:b w:val="false"/>
          <w:i w:val="false"/>
          <w:sz w:val="20"/>
        </w:rPr>
        <w:t/>
      </w:r>
    </w:p>
    <w:p>
      <w:pPr>
        <w:pStyle w:val="ab"/>
      </w:pPr>
      <w:r>
        <w:t>艺术在表达具身智能系统架构中的价值是什么？</w:t>
      </w:r>
    </w:p>
    <w:p>
      <w:r>
        <w:rPr>
          <w:rFonts w:ascii="等线(中文正文)" w:hAnsi="等线(中文正文)" w:cs="等线(中文正文)" w:eastAsia="等线(中文正文)"/>
          <w:b w:val="false"/>
          <w:i w:val="false"/>
          <w:sz w:val="20"/>
        </w:rPr>
        <w:t>发言人1：艺术可以以更生动、易于理解的方式表达具身智能的概念，如将复杂的框架图转化为轻松易懂的表达形式。这样有助于人们深入理解机身智能不仅限于人形机器人，还包括感知、建模、决策优化等多个要素，并且它们在系统中起到不可替代的作用。</w:t>
      </w:r>
    </w:p>
    <w:p>
      <w:r>
        <w:rPr>
          <w:rFonts w:ascii="等线(中文正文)" w:hAnsi="等线(中文正文)" w:cs="等线(中文正文)" w:eastAsia="等线(中文正文)"/>
          <w:b w:val="false"/>
          <w:i w:val="false"/>
          <w:sz w:val="20"/>
        </w:rPr>
        <w:t/>
      </w:r>
    </w:p>
    <w:p>
      <w:pPr>
        <w:pStyle w:val="ab"/>
      </w:pPr>
      <w:r>
        <w:t>感知在具身智能系统架构中的作用是什么？</w:t>
      </w:r>
    </w:p>
    <w:p>
      <w:r>
        <w:rPr>
          <w:rFonts w:ascii="等线(中文正文)" w:hAnsi="等线(中文正文)" w:cs="等线(中文正文)" w:eastAsia="等线(中文正文)"/>
          <w:b w:val="false"/>
          <w:i w:val="false"/>
          <w:sz w:val="20"/>
        </w:rPr>
        <w:t>发言人1：感知在具身智能系统架构中起到的关键作用是揭示真实世界的变化差异，采集数据以支撑人工智能建模。同时，人工智能需要从变化中找到共性规律，建立模型后进行推演、预测、计算并做出决策优化。</w:t>
      </w:r>
    </w:p>
    <w:p>
      <w:r>
        <w:rPr>
          <w:rFonts w:ascii="等线(中文正文)" w:hAnsi="等线(中文正文)" w:cs="等线(中文正文)" w:eastAsia="等线(中文正文)"/>
          <w:b w:val="false"/>
          <w:i w:val="false"/>
          <w:sz w:val="20"/>
        </w:rPr>
        <w:t/>
      </w:r>
    </w:p>
    <w:p>
      <w:pPr>
        <w:pStyle w:val="ab"/>
      </w:pPr>
      <w:r>
        <w:t>科学与艺术之间的共性是什么？</w:t>
      </w:r>
    </w:p>
    <w:p>
      <w:r>
        <w:rPr>
          <w:rFonts w:ascii="等线(中文正文)" w:hAnsi="等线(中文正文)" w:cs="等线(中文正文)" w:eastAsia="等线(中文正文)"/>
          <w:b w:val="false"/>
          <w:i w:val="false"/>
          <w:sz w:val="20"/>
        </w:rPr>
        <w:t>发言人1：科学与艺术都是大脑产物，都利用信息工具探索未知、发现未来。科学可能更为严谨，而艺术则可能更加大胆，两者都追求尽可能展开对各种可能性的尝试，艺术甚至被视为一种符合科学精神的方法论。</w:t>
      </w:r>
    </w:p>
    <w:p>
      <w:r>
        <w:rPr>
          <w:rFonts w:ascii="等线(中文正文)" w:hAnsi="等线(中文正文)" w:cs="等线(中文正文)" w:eastAsia="等线(中文正文)"/>
          <w:b w:val="false"/>
          <w:i w:val="false"/>
          <w:sz w:val="20"/>
        </w:rPr>
        <w:t/>
      </w:r>
    </w:p>
    <w:p>
      <w:pPr>
        <w:pStyle w:val="ab"/>
      </w:pPr>
      <w:r>
        <w:t>如何将科研中的失败和试错转化为价值？</w:t>
      </w:r>
    </w:p>
    <w:p>
      <w:r>
        <w:rPr>
          <w:rFonts w:ascii="等线(中文正文)" w:hAnsi="等线(中文正文)" w:cs="等线(中文正文)" w:eastAsia="等线(中文正文)"/>
          <w:b w:val="false"/>
          <w:i w:val="false"/>
          <w:sz w:val="20"/>
        </w:rPr>
        <w:t>发言人1：科研过程中的失败和试错往往蕴含着丰富的信息，艺术家可以通过不同的视角重新诠释这些失败，赋予其新的文化价值。结合科学和艺术的评价体系，可以鼓励科研人员勇于创新和试错，同时让艺术家挖掘科研成果的文化内涵，形成一种相互促进的合作模式。</w:t>
      </w:r>
    </w:p>
    <w:p>
      <w:r>
        <w:rPr>
          <w:rFonts w:ascii="等线(中文正文)" w:hAnsi="等线(中文正文)" w:cs="等线(中文正文)" w:eastAsia="等线(中文正文)"/>
          <w:b w:val="false"/>
          <w:i w:val="false"/>
          <w:sz w:val="20"/>
        </w:rPr>
        <w:t/>
      </w:r>
    </w:p>
    <w:p>
      <w:pPr>
        <w:pStyle w:val="ab"/>
      </w:pPr>
      <w:r>
        <w:t>通用大脑和通用双手在构建物理世界生产力中扮演什么角色？</w:t>
      </w:r>
    </w:p>
    <w:p>
      <w:r>
        <w:rPr>
          <w:rFonts w:ascii="等线(中文正文)" w:hAnsi="等线(中文正文)" w:cs="等线(中文正文)" w:eastAsia="等线(中文正文)"/>
          <w:b w:val="false"/>
          <w:i w:val="false"/>
          <w:sz w:val="20"/>
        </w:rPr>
        <w:t>发言人1：通用大脑和通用双手旨在构建物理世界的通用生产力，通过极致通用的大语言模型与AI coding相结合，实现数字世界的生产力激活。而对于物理世界，一个能够适配物理世界的通用大脑（如世界基础模型）以及灵巧手作为生产力接口，能够承载世界上所有通用任务，从而构建物理世界生产力的基础设施。张宇动力的目标是实现硅基劳动力，即以世界基础模型作为大脑，以极致仿生的灵巧手作为执行末端，构建物理AI开发平台，降低开发物理AI agent的门槛。</w:t>
      </w:r>
    </w:p>
    <w:p>
      <w:r>
        <w:rPr>
          <w:rFonts w:ascii="等线(中文正文)" w:hAnsi="等线(中文正文)" w:cs="等线(中文正文)" w:eastAsia="等线(中文正文)"/>
          <w:b w:val="false"/>
          <w:i w:val="false"/>
          <w:sz w:val="20"/>
        </w:rPr>
        <w:t/>
      </w:r>
    </w:p>
    <w:p>
      <w:pPr>
        <w:pStyle w:val="ab"/>
      </w:pPr>
      <w:r>
        <w:t>在大脑架构方面，你们提出了什么新的思考？</w:t>
      </w:r>
    </w:p>
    <w:p>
      <w:r>
        <w:rPr>
          <w:rFonts w:ascii="等线(中文正文)" w:hAnsi="等线(中文正文)" w:cs="等线(中文正文)" w:eastAsia="等线(中文正文)"/>
          <w:b w:val="false"/>
          <w:i w:val="false"/>
          <w:sz w:val="20"/>
        </w:rPr>
        <w:t>发言人1：我们提出了一个名为“深思架构”的大脑架构模型，该架构主要包括三个部分：通用的世界基础模型、策略模型以及数据体系。其中，通用的世界基础模型提供通识能力，策略模型则提供后训练能力，类似于我们在接受九年义务教育后进行的二次培训。数据体系作为底层基础，对整个模型至关重要。</w:t>
      </w:r>
    </w:p>
    <w:p>
      <w:r>
        <w:rPr>
          <w:rFonts w:ascii="等线(中文正文)" w:hAnsi="等线(中文正文)" w:cs="等线(中文正文)" w:eastAsia="等线(中文正文)"/>
          <w:b w:val="false"/>
          <w:i w:val="false"/>
          <w:sz w:val="20"/>
        </w:rPr>
        <w:t/>
      </w:r>
    </w:p>
    <w:p>
      <w:pPr>
        <w:pStyle w:val="ab"/>
      </w:pPr>
      <w:r>
        <w:t>针对数据采集方面有哪些进展和挑战？</w:t>
      </w:r>
    </w:p>
    <w:p>
      <w:r>
        <w:rPr>
          <w:rFonts w:ascii="等线(中文正文)" w:hAnsi="等线(中文正文)" w:cs="等线(中文正文)" w:eastAsia="等线(中文正文)"/>
          <w:b w:val="false"/>
          <w:i w:val="false"/>
          <w:sz w:val="20"/>
        </w:rPr>
        <w:t>发言人1：我们开发了一个名为Oversize的数据产品方案，其中包含了底层能力C-Data。我们构建了三大素材路径，如DEX-5米、数据手套等，以采集精确的视觉和力出数据。但自然度采集存在局限性，因此需要规模化和多样化的数据以满足通用模型的需求。此外，我们在手部保持裸露状态下采集发力数据遇到难题，为解决这个问题，我们引入了机电手环技术，能够将人的生物电信号转换成手部位置姿态和发力，并且实现了跨个体零数据泛化。</w:t>
      </w:r>
    </w:p>
    <w:p>
      <w:r>
        <w:rPr>
          <w:rFonts w:ascii="等线(中文正文)" w:hAnsi="等线(中文正文)" w:cs="等线(中文正文)" w:eastAsia="等线(中文正文)"/>
          <w:b w:val="false"/>
          <w:i w:val="false"/>
          <w:sz w:val="20"/>
        </w:rPr>
        <w:t/>
      </w:r>
    </w:p>
    <w:p>
      <w:pPr>
        <w:pStyle w:val="ab"/>
      </w:pPr>
      <w:r>
        <w:t>如何解决灵巧手数据采集的最后一步对齐问题？</w:t>
      </w:r>
    </w:p>
    <w:p>
      <w:r>
        <w:rPr>
          <w:rFonts w:ascii="等线(中文正文)" w:hAnsi="等线(中文正文)" w:cs="等线(中文正文)" w:eastAsia="等线(中文正文)"/>
          <w:b w:val="false"/>
          <w:i w:val="false"/>
          <w:sz w:val="20"/>
        </w:rPr>
        <w:t>发言人1：为了解决灵巧手数据采集中的对齐问题，我们设计了一款同构设计的仿生外骨骼手套，其自由度和传感器配置与灵巧手完全一致，通过将灵巧手的动力单元替换为人手，使得在采集数据时能够模拟真实操作，大大提高了数据采集效率。</w:t>
      </w:r>
    </w:p>
    <w:p>
      <w:r>
        <w:rPr>
          <w:rFonts w:ascii="等线(中文正文)" w:hAnsi="等线(中文正文)" w:cs="等线(中文正文)" w:eastAsia="等线(中文正文)"/>
          <w:b w:val="false"/>
          <w:i w:val="false"/>
          <w:sz w:val="20"/>
        </w:rPr>
        <w:t/>
      </w:r>
    </w:p>
    <w:p>
      <w:pPr>
        <w:pStyle w:val="ab"/>
      </w:pPr>
      <w:r>
        <w:t>对于头环设备有什么特别之处？</w:t>
      </w:r>
    </w:p>
    <w:p>
      <w:r>
        <w:rPr>
          <w:rFonts w:ascii="等线(中文正文)" w:hAnsi="等线(中文正文)" w:cs="等线(中文正文)" w:eastAsia="等线(中文正文)"/>
          <w:b w:val="false"/>
          <w:i w:val="false"/>
          <w:sz w:val="20"/>
        </w:rPr>
        <w:t>发言人1：我们采用四颗鱼眼设计了一个头环，具备大视场角，能够捕捉到手部的所有操作范围，借助深度学习模型可以实现精确的空间感知和结果预测。</w:t>
      </w:r>
    </w:p>
    <w:p>
      <w:r>
        <w:rPr>
          <w:rFonts w:ascii="等线(中文正文)" w:hAnsi="等线(中文正文)" w:cs="等线(中文正文)" w:eastAsia="等线(中文正文)"/>
          <w:b w:val="false"/>
          <w:i w:val="false"/>
          <w:sz w:val="20"/>
        </w:rPr>
        <w:t/>
      </w:r>
    </w:p>
    <w:p>
      <w:pPr>
        <w:pStyle w:val="ab"/>
      </w:pPr>
      <w:r>
        <w:t>关于CWord 0.5世界基础模型的表现如何？世界基础模型的应用前景如何？</w:t>
      </w:r>
    </w:p>
    <w:p>
      <w:r>
        <w:rPr>
          <w:rFonts w:ascii="等线(中文正文)" w:hAnsi="等线(中文正文)" w:cs="等线(中文正文)" w:eastAsia="等线(中文正文)"/>
          <w:b w:val="false"/>
          <w:i w:val="false"/>
          <w:sz w:val="20"/>
        </w:rPr>
        <w:t>发言人1：CWord 0.5是一个16B参数的模型，经过三十多万小时的数据训练，其在语义跟随度、物理一致性跟随度以及视觉质量上相较于Cosmos娜娜模型有显著提升。我们遵循极致skating原则设计模型架构，使其能够支持持续时序和多模态的skating，以增强因果建模能力和完备性。世界基础模型可用于闭环仿真、数据合成及闭环评测等多个场景，尤其对于模型能力的skating至关重要。我们计划在十月份发布20B参数的原生通用世界基础模型，并预计明年上半年推出千亿参数以上的通用世界基础模型，旨在提升模型能力至接近GPT3的水平。</w:t>
      </w:r>
    </w:p>
    <w:p>
      <w:r>
        <w:rPr>
          <w:rFonts w:ascii="等线(中文正文)" w:hAnsi="等线(中文正文)" w:cs="等线(中文正文)" w:eastAsia="等线(中文正文)"/>
          <w:b w:val="false"/>
          <w:i w:val="false"/>
          <w:sz w:val="20"/>
        </w:rPr>
        <w:t/>
      </w:r>
    </w:p>
    <w:p>
      <w:pPr>
        <w:pStyle w:val="ab"/>
      </w:pPr>
      <w:r>
        <w:t>奥拓h hand有何独特之处？</w:t>
      </w:r>
    </w:p>
    <w:p>
      <w:r>
        <w:rPr>
          <w:rFonts w:ascii="等线(中文正文)" w:hAnsi="等线(中文正文)" w:cs="等线(中文正文)" w:eastAsia="等线(中文正文)"/>
          <w:b w:val="false"/>
          <w:i w:val="false"/>
          <w:sz w:val="20"/>
        </w:rPr>
        <w:t>发言人1：奥拓h hand是基于仿生理念设计的一款灵巧手，特点是重量轻、灵活度高以及具有良好的通用性。通过省区（即电机）集中设置在手腕部而非手指，保证了手部灵活轻巧，提高了稳定性和可靠性，同时也方便进行各种场景下的适应性工作，同时支持立位混合控制，具备接近人手的感知和触觉反馈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2026-08-23T03:17:04Z</dcterms:created>
  <dc:creator>Apache POI</dc:creator>
</cp:coreProperties>
</file>