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人工智能建设带来的信贷市场变化｜摩根士丹利专栏 260822_原文</w:t>
      </w:r>
    </w:p>
    <w:p>
      <w:pPr>
        <w:jc w:val="center"/>
      </w:pPr>
      <w:r>
        <w:rPr>
          <w:rFonts w:ascii="等线(中文正文)" w:hAnsi="等线(中文正文)" w:cs="等线(中文正文)" w:eastAsia="等线(中文正文)"/>
          <w:b w:val="false"/>
          <w:i w:val="false"/>
          <w:sz w:val="20"/>
        </w:rPr>
        <w:t>2026年08月23日 11:07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 xml:space="preserve">Welcome to dots on the market. I am busy to the door modestly. Chip fixed const today.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00:06</w:t>
      </w:r>
    </w:p>
    <w:p>
      <w:r>
        <w:rPr>
          <w:rFonts w:ascii="等线(中文正文)" w:hAnsi="等线(中文正文)" w:cs="等线(中文正文)" w:eastAsia="等线(中文正文)"/>
          <w:b w:val="false"/>
          <w:i w:val="false"/>
          <w:sz w:val="20"/>
        </w:rPr>
        <w:t xml:space="preserve">Why the summer of twenty twenty six is all about AI financing and the evolution of create markets. IT is friday, August twenty fist at two P. M. In new york, the number of twenty twenty six may ultimately be remembered not for a new model release or a breakthrough chip, but for developments in AI financing that highlighted how quickly capital markets are adapting to the demands of the AI build out. The starting point of analysis remains unchanged.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00:35</w:t>
      </w:r>
    </w:p>
    <w:p>
      <w:r>
        <w:rPr>
          <w:rFonts w:ascii="等线(中文正文)" w:hAnsi="等线(中文正文)" w:cs="等线(中文正文)" w:eastAsia="等线(中文正文)"/>
          <w:b w:val="false"/>
          <w:i w:val="false"/>
          <w:sz w:val="20"/>
        </w:rPr>
        <w:t xml:space="preserve">The demand for computer continues to outstate supply of compute, resulting in upper divisions in AI infrastructure capable expectations as hyper scale commit additional capital to secure future capacity. Our equity reach colleagues now estimate that the total capex for the four largest cyber scale ers will rise fifty seven percent in two thousand and seven verses twenty twenty six. This spending plans reflect growing conviction that such investments can generate twenty five percent plus returns on the investment capital.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w:t>
      </w:r>
    </w:p>
    <w:p>
      <w:r>
        <w:rPr>
          <w:rFonts w:ascii="等线(中文正文)" w:hAnsi="等线(中文正文)" w:cs="等线(中文正文)" w:eastAsia="等线(中文正文)"/>
          <w:b w:val="false"/>
          <w:i w:val="false"/>
          <w:sz w:val="20"/>
        </w:rPr>
        <w:t xml:space="preserve">请关注公众号思维纪要社，更多纪要请加V西安20210130。At the same time, the light between capex deployment and motivation continues to pressure the near term casuals with our analysts. Twenty twenty seven three caster estimates for the four hyper scale ers continue to move lower is what this means is that the result is a widening financing gap two thousand twenty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01:34</w:t>
      </w:r>
    </w:p>
    <w:p>
      <w:r>
        <w:rPr>
          <w:rFonts w:ascii="等线(中文正文)" w:hAnsi="等线(中文正文)" w:cs="等线(中文正文)" w:eastAsia="等线(中文正文)"/>
          <w:b w:val="false"/>
          <w:i w:val="false"/>
          <w:sz w:val="20"/>
        </w:rPr>
        <w:t xml:space="preserve">That means air related conditions ance will remain substantial and may even need to increase further before cash rolls from these investments begin to catch up. Developments in create spts this summer have been equally telling. Create experts for hyper scales have wider, meaningfully more notable even than the absolute level of lightening is the divisions across financing channels.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01:57</w:t>
      </w:r>
    </w:p>
    <w:p>
      <w:r>
        <w:rPr>
          <w:rFonts w:ascii="等线(中文正文)" w:hAnsi="等线(中文正文)" w:cs="等线(中文正文)" w:eastAsia="等线(中文正文)"/>
          <w:b w:val="false"/>
          <w:i w:val="false"/>
          <w:sz w:val="20"/>
        </w:rPr>
        <w:t xml:space="preserve">For example, spread winning was most pronounced in unsecured bonds, where issurance volumes accusative sharply and investors remained exposed to a broader range of risks tied to the AI investment cycle. By contrast, spread winning data center A, B, S and cmbs was much more modest. These structures are backed by Operating assets that already been constructed, powered and least with contractual cash.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02:25</w:t>
      </w:r>
    </w:p>
    <w:p>
      <w:r>
        <w:rPr>
          <w:rFonts w:ascii="等线(中文正文)" w:hAnsi="等线(中文正文)" w:cs="等线(中文正文)" w:eastAsia="等线(中文正文)"/>
          <w:b w:val="false"/>
          <w:i w:val="false"/>
          <w:sz w:val="20"/>
        </w:rPr>
        <w:t xml:space="preserve">Los largely established, combined with a more measured pace of insurance, these characters this helped insulate seure credit products from the volatility seen in unsecure credit markets. The divergence across create markets also reflects the differences in issue incentives and sensitivity to funding cost, visual shape issues, volumes going forward. At the higher end of the quality spectrum, the major hyper scale ers with average atta roughly double combine substantial financing needs with significant waiting flexibility given their return on investment capital expectations.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03:02</w:t>
      </w:r>
    </w:p>
    <w:p>
      <w:r>
        <w:rPr>
          <w:rFonts w:ascii="等线(中文正文)" w:hAnsi="等线(中文正文)" w:cs="等线(中文正文)" w:eastAsia="等线(中文正文)"/>
          <w:b w:val="false"/>
          <w:i w:val="false"/>
          <w:sz w:val="20"/>
        </w:rPr>
        <w:t xml:space="preserve">These issues are relatively insensitive to modest changes in borrowing cost. Higher funding cost alone are unlikely to materially slow capital raising by the highest quality participants in the AI equal system. The opposite is true further down the quality spectrum.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03:20</w:t>
      </w:r>
    </w:p>
    <w:p>
      <w:r>
        <w:rPr>
          <w:rFonts w:ascii="等线(中文正文)" w:hAnsi="等线(中文正文)" w:cs="等线(中文正文)" w:eastAsia="等线(中文正文)"/>
          <w:b w:val="false"/>
          <w:i w:val="false"/>
          <w:sz w:val="20"/>
        </w:rPr>
        <w:t xml:space="preserve">Lower quality hyper skills and data center developers, including former point miners and rates have less baLance sheet flexibility and lower Collins for higher funding costs for these borrowers, widespread represent a more meaningful constraints, making funding costs in natural stabilizers of future supply the next phase of AI financing is also likely to look quite bit different as incremental capex shifts from data sentient ells towards computer equipment, particularly service and chips, as well as energy assets. While some of these assets have already been finances to higher bonds and level zones, computer infrastructure is particularly well suit to asset level financing, creating a larger role for private capital. The emergence of large scale component financing is likely to be enabled by the highest quality issues flexing their ratings as well as baLance ship street.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04:16</w:t>
      </w:r>
    </w:p>
    <w:p>
      <w:r>
        <w:rPr>
          <w:rFonts w:ascii="等线(中文正文)" w:hAnsi="等线(中文正文)" w:cs="等线(中文正文)" w:eastAsia="等线(中文正文)"/>
          <w:b w:val="false"/>
          <w:i w:val="false"/>
          <w:sz w:val="20"/>
        </w:rPr>
        <w:t xml:space="preserve">We expect these issues to increasingly provide backdrop s credit support arrangements and residual value grantees, helping private capital underlet every larger poles of AR infrastructure access as AS canes from a technology cycle into a capital cycle, understanding that no ones of financing is becoming increasingly important in the next phase of the I build out, understanding the flow of capital may prove nearly as important as understanding the flow of innovation itself. AI is no longer just a technology story. IT is increasingly a capital market story as well.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04:55</w:t>
      </w:r>
    </w:p>
    <w:p>
      <w:r>
        <w:rPr>
          <w:rFonts w:ascii="等线(中文正文)" w:hAnsi="等线(中文正文)" w:cs="等线(中文正文)" w:eastAsia="等线(中文正文)"/>
          <w:b w:val="false"/>
          <w:i w:val="false"/>
          <w:sz w:val="20"/>
        </w:rPr>
        <w:t xml:space="preserve">Thanks for listening. If you enjoy the podcast, please leave us that if you wherever you listen and share thoughts on the market with a friend college today, the proceedings content is informational only and based on information available when created. IT is not an offer or solicitation, nor is a tax or legal advice. IT does not consider your financial circumstances and objectives and may not be suitable for you.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2026-08-23T03:17:12Z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E6636BB100BBAFBB4581D91E6DDB8754530CBE8CB3FDD0EAFA98463F47DFE5CA3E6B9DEC4259EFD4A817971C581F40B6546A84C31A5B28C158EF9C765002CE0BC432035</vt:lpwstr>
  </property>
</Properties>
</file>