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飞龙股份2026年半年报业绩解读 260820_导读</w:t>
      </w:r>
    </w:p>
    <w:p>
      <w:pPr>
        <w:pStyle w:val="a0"/>
        <w:jc w:val="center"/>
      </w:pPr>
      <w:r>
        <w:t>2026年08月23日 11:07</w:t>
      </w:r>
    </w:p>
    <w:p>
      <w:pPr>
        <w:pStyle w:val="a7"/>
      </w:pPr>
      <w:r>
        <w:t>关键词</w:t>
      </w:r>
    </w:p>
    <w:p>
      <w:r>
        <w:rPr>
          <w:rFonts w:ascii="等线(中文正文)" w:hAnsi="等线(中文正文)" w:cs="等线(中文正文)" w:eastAsia="等线(中文正文)"/>
          <w:b w:val="false"/>
          <w:i w:val="false"/>
          <w:sz w:val="20"/>
        </w:rPr>
        <w:t xml:space="preserve">飞龙股份 液冷 电子水泵 小功率平台 待有订单 交付周期 专利保护 iraq in rac 市场空间 数据中心 算力集中点 长江证券 散热 功率 CDU 水泵 CPU 订单 交付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长江证券分析师与公司领导深入讨论了半年报，强调关注“思维纪要社”公众号以获取更多信息的重要性。讨论聚焦于飞龙公司在液冷领域的超预期进展及全球化实力，涉及订单情况、产品功率段、客户需求、产能规划和海外市场布局。特别强调了电子水泵替代传统机械水泵的趋势，以及对液冷行业和医疗板块的未来展望。飞龙公司与多家券商合作，邀请高管分享信息，并对投资者提问作出详细解答，涵盖了订单交付周期、产能提升、汇率影响、原材料成本和海外市场需求等多方面内容，展现了公司对市场的积极态度和应对策略。</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飞龙股份半年报解读与投资者问答</w:t>
      </w:r>
    </w:p>
    <w:p>
      <w:r>
        <w:rPr>
          <w:rFonts w:ascii="等线(中文正文)" w:hAnsi="等线(中文正文)" w:cs="等线(中文正文)" w:eastAsia="等线(中文正文)"/>
          <w:b w:val="false"/>
          <w:i w:val="false"/>
          <w:sz w:val="20"/>
        </w:rPr>
        <w:t>会议围绕飞龙股份亮眼的半年报展开，重点讨论了公司在液冷满液冷业务的超预期进展，及其对全球化的实力验证。随后，投资者问答环节邀请了公司董秘等领导参与，解答了财务信息以外的投资者提问，旨在分享喜悦并深化对液冷行业及医疗板块贝塔的期待。</w:t>
      </w:r>
    </w:p>
    <w:p>
      <w:r>
        <w:rPr>
          <w:rFonts w:ascii="等线(中文正文)" w:hAnsi="等线(中文正文)" w:cs="等线(中文正文)" w:eastAsia="等线(中文正文)"/>
          <w:b w:val="false"/>
          <w:i w:val="false"/>
          <w:sz w:val="20"/>
        </w:rPr>
        <w:t/>
      </w:r>
    </w:p>
    <w:p>
      <w:pPr>
        <w:pStyle w:val="ab"/>
        <w:numPr>
          <w:numId w:val="2"/>
        </w:numPr>
      </w:pPr>
      <w:r>
        <w:t>02:46 L平台订单与电子水泵发展趋势解析</w:t>
      </w:r>
    </w:p>
    <w:p>
      <w:r>
        <w:rPr>
          <w:rFonts w:ascii="等线(中文正文)" w:hAnsi="等线(中文正文)" w:cs="等线(中文正文)" w:eastAsia="等线(中文正文)"/>
          <w:b w:val="false"/>
          <w:i w:val="false"/>
          <w:sz w:val="20"/>
        </w:rPr>
        <w:t>对话围绕L平台订单详情及小功率电子水泵的应用趋势展开。L平台当前主要出货2K和37K功率段，客户覆盖国内、台湾及北美头部企业。小功率平台订单超5万台，主要用于in rap CPU的CDU系统，加速电子水泵替代机械水泵的趋势。未来两年，in track技术需求持续增长，电子水泵因其体积优势，成为小型屏蔽泵的必然选择。</w:t>
      </w:r>
    </w:p>
    <w:p>
      <w:r>
        <w:rPr>
          <w:rFonts w:ascii="等线(中文正文)" w:hAnsi="等线(中文正文)" w:cs="等线(中文正文)" w:eastAsia="等线(中文正文)"/>
          <w:b w:val="false"/>
          <w:i w:val="false"/>
          <w:sz w:val="20"/>
        </w:rPr>
        <w:t/>
      </w:r>
    </w:p>
    <w:p>
      <w:pPr>
        <w:pStyle w:val="ab"/>
        <w:numPr>
          <w:numId w:val="3"/>
        </w:numPr>
      </w:pPr>
      <w:r>
        <w:t>07:08 数据中心电子水泵订单价值与交付周期分析</w:t>
      </w:r>
    </w:p>
    <w:p>
      <w:r>
        <w:rPr>
          <w:rFonts w:ascii="等线(中文正文)" w:hAnsi="等线(中文正文)" w:cs="等线(中文正文)" w:eastAsia="等线(中文正文)"/>
          <w:b w:val="false"/>
          <w:i w:val="false"/>
          <w:sz w:val="20"/>
        </w:rPr>
        <w:t>对话围绕数据中心电子水泵订单的价值量、交付周期及市场前景展开。指出电子水泵订单预计价值过5亿，交付周期约2到3个月，最多不超过4个月。强调提前布局应对快速响应需求的重要性，并提及音乐CPU和CD需求作为市场关注点。</w:t>
      </w:r>
    </w:p>
    <w:p>
      <w:r>
        <w:rPr>
          <w:rFonts w:ascii="等线(中文正文)" w:hAnsi="等线(中文正文)" w:cs="等线(中文正文)" w:eastAsia="等线(中文正文)"/>
          <w:b w:val="false"/>
          <w:i w:val="false"/>
          <w:sz w:val="20"/>
        </w:rPr>
        <w:t/>
      </w:r>
    </w:p>
    <w:p>
      <w:pPr>
        <w:pStyle w:val="ab"/>
        <w:numPr>
          <w:numId w:val="4"/>
        </w:numPr>
      </w:pPr>
      <w:r>
        <w:t>11:41 水泵设计创新与专利保护探讨</w:t>
      </w:r>
    </w:p>
    <w:p>
      <w:r>
        <w:rPr>
          <w:rFonts w:ascii="等线(中文正文)" w:hAnsi="等线(中文正文)" w:cs="等线(中文正文)" w:eastAsia="等线(中文正文)"/>
          <w:b w:val="false"/>
          <w:i w:val="false"/>
          <w:sz w:val="20"/>
        </w:rPr>
        <w:t>对话围绕水泵产品的设计创新和专利保护展开，强调了在狭小空间内实现体积缩小的设计挑战及解决方案，以及大功率平台开发中的专利优势。同时，讨论了水泵开发与认证周期对市场领先优势的影响，展示了平台建设在快速响应客户需求方面的作用。</w:t>
      </w:r>
    </w:p>
    <w:p>
      <w:r>
        <w:rPr>
          <w:rFonts w:ascii="等线(中文正文)" w:hAnsi="等线(中文正文)" w:cs="等线(中文正文)" w:eastAsia="等线(中文正文)"/>
          <w:b w:val="false"/>
          <w:i w:val="false"/>
          <w:sz w:val="20"/>
        </w:rPr>
        <w:t/>
      </w:r>
    </w:p>
    <w:p>
      <w:pPr>
        <w:pStyle w:val="ab"/>
        <w:numPr>
          <w:numId w:val="5"/>
        </w:numPr>
      </w:pPr>
      <w:r>
        <w:t>16:10 数据中心散热解决方案与市场需求探讨</w:t>
      </w:r>
    </w:p>
    <w:p>
      <w:r>
        <w:rPr>
          <w:rFonts w:ascii="等线(中文正文)" w:hAnsi="等线(中文正文)" w:cs="等线(中文正文)" w:eastAsia="等线(中文正文)"/>
          <w:b w:val="false"/>
          <w:i w:val="false"/>
          <w:sz w:val="20"/>
        </w:rPr>
        <w:t>对话围绕数据中心的散热解决方案展开，讨论了不同规模数据中心对iraq和in rock系统的适用性，以及CDU功率选择依据下游客户需求。分析了市场趋势，预测了未来产品比例，并探讨了北美市场终端需求及新老客户出货节奏。</w:t>
      </w:r>
    </w:p>
    <w:p>
      <w:r>
        <w:rPr>
          <w:rFonts w:ascii="等线(中文正文)" w:hAnsi="等线(中文正文)" w:cs="等线(中文正文)" w:eastAsia="等线(中文正文)"/>
          <w:b w:val="false"/>
          <w:i w:val="false"/>
          <w:sz w:val="20"/>
        </w:rPr>
        <w:t/>
      </w:r>
    </w:p>
    <w:p>
      <w:pPr>
        <w:pStyle w:val="ab"/>
        <w:numPr>
          <w:numId w:val="6"/>
        </w:numPr>
      </w:pPr>
      <w:r>
        <w:t>23:24 东吴汽车探讨泵订单增长与未来展望</w:t>
      </w:r>
    </w:p>
    <w:p>
      <w:r>
        <w:rPr>
          <w:rFonts w:ascii="等线(中文正文)" w:hAnsi="等线(中文正文)" w:cs="等线(中文正文)" w:eastAsia="等线(中文正文)"/>
          <w:b w:val="false"/>
          <w:i w:val="false"/>
          <w:sz w:val="20"/>
        </w:rPr>
        <w:t>对话围绕泵订单的增长情况展开，提及行业空间、格局及客户进展，订单交付周期预计3-4个月，未来订单展望需关注公告。受传统汽车销量影响，二季度业绩承压，但预计三季度订单量回升，东南亚产能逐步建设中，泰国工厂预计全年贡献约3亿营收。</w:t>
      </w:r>
    </w:p>
    <w:p>
      <w:r>
        <w:rPr>
          <w:rFonts w:ascii="等线(中文正文)" w:hAnsi="等线(中文正文)" w:cs="等线(中文正文)" w:eastAsia="等线(中文正文)"/>
          <w:b w:val="false"/>
          <w:i w:val="false"/>
          <w:sz w:val="20"/>
        </w:rPr>
        <w:t/>
      </w:r>
    </w:p>
    <w:p>
      <w:pPr>
        <w:pStyle w:val="ab"/>
        <w:numPr>
          <w:numId w:val="7"/>
        </w:numPr>
      </w:pPr>
      <w:r>
        <w:t>29:10 大功率泵产能规划与市场趋势探讨</w:t>
      </w:r>
    </w:p>
    <w:p>
      <w:r>
        <w:rPr>
          <w:rFonts w:ascii="等线(中文正文)" w:hAnsi="等线(中文正文)" w:cs="等线(中文正文)" w:eastAsia="等线(中文正文)"/>
          <w:b w:val="false"/>
          <w:i w:val="false"/>
          <w:sz w:val="20"/>
        </w:rPr>
        <w:t>对话围绕大功率泵的产能情况、产能规划以及在大型应用中的使用趋势展开。一方询问了22千瓦以上泵的产能及规划，得到关于自动化生产布局和未来产线规划的回答。另一方探讨了30千瓦以上大泵的全球竞争格局，了解到不同功率泵根据散热需求选择使用，不存在替代关系，强调了客户布局对泵选择的影响。</w:t>
      </w:r>
    </w:p>
    <w:p>
      <w:r>
        <w:rPr>
          <w:rFonts w:ascii="等线(中文正文)" w:hAnsi="等线(中文正文)" w:cs="等线(中文正文)" w:eastAsia="等线(中文正文)"/>
          <w:b w:val="false"/>
          <w:i w:val="false"/>
          <w:sz w:val="20"/>
        </w:rPr>
        <w:t/>
      </w:r>
    </w:p>
    <w:p>
      <w:pPr>
        <w:pStyle w:val="ab"/>
        <w:numPr>
          <w:numId w:val="8"/>
        </w:numPr>
      </w:pPr>
      <w:r>
        <w:t>32:55 AI数据中心与医疗机器人领域的业务布局与战略展望</w:t>
      </w:r>
    </w:p>
    <w:p>
      <w:r>
        <w:rPr>
          <w:rFonts w:ascii="等线(中文正文)" w:hAnsi="等线(中文正文)" w:cs="等线(中文正文)" w:eastAsia="等线(中文正文)"/>
          <w:b w:val="false"/>
          <w:i w:val="false"/>
          <w:sz w:val="20"/>
        </w:rPr>
        <w:t>对话围绕公司在AI数据中心备用电源业务及医疗、机器人领域的布局展开，详细讨论了90升至130升超大功率机械水泵的研发与市场应用，以及医疗和机器人业务的资源倾斜与成长性展望。强调了公司从机械泵起家，逐步拓展至高规格水泵市场的战略定位，同时提及医疗领域虽有挑战但仍将持续探索，机器人业务则作为未来重点发展方向。</w:t>
      </w:r>
    </w:p>
    <w:p>
      <w:r>
        <w:rPr>
          <w:rFonts w:ascii="等线(中文正文)" w:hAnsi="等线(中文正文)" w:cs="等线(中文正文)" w:eastAsia="等线(中文正文)"/>
          <w:b w:val="false"/>
          <w:i w:val="false"/>
          <w:sz w:val="20"/>
        </w:rPr>
        <w:t/>
      </w:r>
    </w:p>
    <w:p>
      <w:pPr>
        <w:pStyle w:val="ab"/>
        <w:numPr>
          <w:numId w:val="9"/>
        </w:numPr>
      </w:pPr>
      <w:r>
        <w:t>39:11 AIPC市场与端侧AI发展展望及新能源业务增长分析</w:t>
      </w:r>
    </w:p>
    <w:p>
      <w:r>
        <w:rPr>
          <w:rFonts w:ascii="等线(中文正文)" w:hAnsi="等线(中文正文)" w:cs="等线(中文正文)" w:eastAsia="等线(中文正文)"/>
          <w:b w:val="false"/>
          <w:i w:val="false"/>
          <w:sz w:val="20"/>
        </w:rPr>
        <w:t>讨论了AIPC市场的热度与未来增长潜力，指出明年将达高峰，预计全年有七八千万台电脑进入市场，液冷渗透率提升将拉动市场。同时，新能源汽车业务营收占比提升七个点，主要增长源自车端，非车端增长有限，预计未来非车端占比将提升至30%以上，公司对完成订单充满信心。</w:t>
      </w:r>
    </w:p>
    <w:p>
      <w:r>
        <w:rPr>
          <w:rFonts w:ascii="等线(中文正文)" w:hAnsi="等线(中文正文)" w:cs="等线(中文正文)" w:eastAsia="等线(中文正文)"/>
          <w:b w:val="false"/>
          <w:i w:val="false"/>
          <w:sz w:val="20"/>
        </w:rPr>
        <w:t/>
      </w:r>
    </w:p>
    <w:p>
      <w:pPr>
        <w:pStyle w:val="ab"/>
        <w:numPr>
          <w:numId w:val="10"/>
        </w:numPr>
      </w:pPr>
      <w:r>
        <w:t>44:02 原材料影响与盈利性展望</w:t>
      </w:r>
    </w:p>
    <w:p>
      <w:r>
        <w:rPr>
          <w:rFonts w:ascii="等线(中文正文)" w:hAnsi="等线(中文正文)" w:cs="等线(中文正文)" w:eastAsia="等线(中文正文)"/>
          <w:b w:val="false"/>
          <w:i w:val="false"/>
          <w:sz w:val="20"/>
        </w:rPr>
        <w:t>对话围绕原材料影响、毛利率修复可能性及客户竞争加剧展开，认为营收端尤其是海外营收需增长，汇率影响有限，大宗商品管理措施可能效果不显著，整体持谨慎态度，预计三四季度状况优于二季度。</w:t>
      </w:r>
    </w:p>
    <w:p>
      <w:r>
        <w:rPr>
          <w:rFonts w:ascii="等线(中文正文)" w:hAnsi="等线(中文正文)" w:cs="等线(中文正文)" w:eastAsia="等线(中文正文)"/>
          <w:b w:val="false"/>
          <w:i w:val="false"/>
          <w:sz w:val="20"/>
        </w:rPr>
        <w:t/>
      </w:r>
    </w:p>
    <w:p>
      <w:pPr>
        <w:pStyle w:val="ab"/>
        <w:numPr>
          <w:numId w:val="11"/>
        </w:numPr>
      </w:pPr>
      <w:r>
        <w:t>46:31 飞龙液冷业务发展与产能规划前瞻</w:t>
      </w:r>
    </w:p>
    <w:p>
      <w:r>
        <w:rPr>
          <w:rFonts w:ascii="等线(中文正文)" w:hAnsi="等线(中文正文)" w:cs="等线(中文正文)" w:eastAsia="等线(中文正文)"/>
          <w:b w:val="false"/>
          <w:i w:val="false"/>
          <w:sz w:val="20"/>
        </w:rPr>
        <w:t>对话围绕飞龙公司液冷业务的发展和产能规划展开，重点讨论了越南工厂的建设目的、产能释放节奏，以及公司在液冷行业的订单和交付安排。公司强调了在液冷市场中的高确定性、好格局、低估值和高壁垒等优势，建议持续关注飞龙在液冷板块的进展。会议还提及了与北美客户的会议安排及对液冷行业未来趋势的分析。</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即自称长江汽车分析师张，强调未经授权复制、刊载、转载或引用会议内容将由侵权方承担后果及法律责任，长江证券保留追责权利。会议联合11家券商，旨在分享飞龙股份半年报亮点，尤其关注其液冷技术进步及全球化验证。会议还包括公司高管分享、投资者问答，议题涵盖产品订单、功率段、客户分布及市场预期，强调液冷及医疗板块前景，同时触及海外产能建设与全球市场布局，凸显飞龙股份市场竞争力与潜力。</w:t>
      </w:r>
    </w:p>
    <w:p>
      <w:r>
        <w:rPr>
          <w:rFonts w:ascii="等线(中文正文)" w:hAnsi="等线(中文正文)" w:cs="等线(中文正文)" w:eastAsia="等线(中文正文)"/>
          <w:b w:val="false"/>
          <w:i w:val="false"/>
          <w:sz w:val="20"/>
        </w:rPr>
        <w:t/>
      </w:r>
    </w:p>
    <w:p>
      <w:pPr>
        <w:pStyle w:val="a7"/>
      </w:pPr>
      <w:r>
        <w:t>要点回顾</w:t>
      </w:r>
    </w:p>
    <w:p>
      <w:pPr>
        <w:pStyle w:val="ab"/>
      </w:pPr>
      <w:r>
        <w:t>整个L平台的订单主要集中在哪个功率段？下游客户有哪些？</w:t>
      </w:r>
    </w:p>
    <w:p>
      <w:r>
        <w:rPr>
          <w:rFonts w:ascii="等线(中文正文)" w:hAnsi="等线(中文正文)" w:cs="等线(中文正文)" w:eastAsia="等线(中文正文)"/>
          <w:b w:val="false"/>
          <w:i w:val="false"/>
          <w:sz w:val="20"/>
        </w:rPr>
        <w:t>发言人1：当前L平台已出货三个平台，分别是15K、2K和37K，主要出货的是2K和37K。客户方面，国内有头部企业，国外包括台湾企业以及北美的一些海外头部CPU大厂。</w:t>
      </w:r>
    </w:p>
    <w:p>
      <w:r>
        <w:rPr>
          <w:rFonts w:ascii="等线(中文正文)" w:hAnsi="等线(中文正文)" w:cs="等线(中文正文)" w:eastAsia="等线(中文正文)"/>
          <w:b w:val="false"/>
          <w:i w:val="false"/>
          <w:sz w:val="20"/>
        </w:rPr>
        <w:t/>
      </w:r>
    </w:p>
    <w:p>
      <w:pPr>
        <w:pStyle w:val="ab"/>
      </w:pPr>
      <w:r>
        <w:t>小功率平台披露的5万台订单是否可以理解为是在in rap CPU上搭载，以及是否意味着电子水泵在加速替代机械水泵？</w:t>
      </w:r>
    </w:p>
    <w:p>
      <w:r>
        <w:rPr>
          <w:rFonts w:ascii="等线(中文正文)" w:hAnsi="等线(中文正文)" w:cs="等线(中文正文)" w:eastAsia="等线(中文正文)"/>
          <w:b w:val="false"/>
          <w:i w:val="false"/>
          <w:sz w:val="20"/>
        </w:rPr>
        <w:t>发言人1：这些小功率水泵对应的是S平台、M平台以及工业混合平台，它们是在in rap和mrac CDU/CTU上应用。目前英诺的需求和技术发展经验表明，未来两年内，in rap增速将持续当前状态，电子水泵替代机械水泵的趋势在加速。</w:t>
      </w:r>
    </w:p>
    <w:p>
      <w:r>
        <w:rPr>
          <w:rFonts w:ascii="等线(中文正文)" w:hAnsi="等线(中文正文)" w:cs="等线(中文正文)" w:eastAsia="等线(中文正文)"/>
          <w:b w:val="false"/>
          <w:i w:val="false"/>
          <w:sz w:val="20"/>
        </w:rPr>
        <w:t/>
      </w:r>
    </w:p>
    <w:p>
      <w:pPr>
        <w:pStyle w:val="ab"/>
      </w:pPr>
      <w:r>
        <w:t>大泵1万台和小泵超5万台的债务订单的价值量情况及累积债务订单金额？</w:t>
      </w:r>
    </w:p>
    <w:p>
      <w:r>
        <w:rPr>
          <w:rFonts w:ascii="等线(中文正文)" w:hAnsi="等线(中文正文)" w:cs="等线(中文正文)" w:eastAsia="等线(中文正文)"/>
          <w:b w:val="false"/>
          <w:i w:val="false"/>
          <w:sz w:val="20"/>
        </w:rPr>
        <w:t>发言人1：由于涉及商业机密，具体价格不在此透露，但可以确认硬电子水泵的价值量高于传统车用水泵。这次订单预计总价值超过5亿人民币。</w:t>
      </w:r>
    </w:p>
    <w:p>
      <w:r>
        <w:rPr>
          <w:rFonts w:ascii="等线(中文正文)" w:hAnsi="等线(中文正文)" w:cs="等线(中文正文)" w:eastAsia="等线(中文正文)"/>
          <w:b w:val="false"/>
          <w:i w:val="false"/>
          <w:sz w:val="20"/>
        </w:rPr>
        <w:t/>
      </w:r>
    </w:p>
    <w:p>
      <w:pPr>
        <w:pStyle w:val="ab"/>
      </w:pPr>
      <w:r>
        <w:t>待有订单的交付周期大概是多久？</w:t>
      </w:r>
    </w:p>
    <w:p>
      <w:r>
        <w:rPr>
          <w:rFonts w:ascii="等线(中文正文)" w:hAnsi="等线(中文正文)" w:cs="等线(中文正文)" w:eastAsia="等线(中文正文)"/>
          <w:b w:val="false"/>
          <w:i w:val="false"/>
          <w:sz w:val="20"/>
        </w:rPr>
        <w:t>发言人1：我们很早就收到了对应项目的预测，并针对这些订单进行了相应的布局，但由于滚动项目的特点，订单不会闲置太久，交付周期需结合具体项目预测来判断。</w:t>
      </w:r>
    </w:p>
    <w:p>
      <w:r>
        <w:rPr>
          <w:rFonts w:ascii="等线(中文正文)" w:hAnsi="等线(中文正文)" w:cs="等线(中文正文)" w:eastAsia="等线(中文正文)"/>
          <w:b w:val="false"/>
          <w:i w:val="false"/>
          <w:sz w:val="20"/>
        </w:rPr>
        <w:t/>
      </w:r>
    </w:p>
    <w:p>
      <w:pPr>
        <w:pStyle w:val="ab"/>
      </w:pPr>
      <w:r>
        <w:t>对于当前提到的订单，交付时间大概是什么样的？</w:t>
      </w:r>
    </w:p>
    <w:p>
      <w:r>
        <w:rPr>
          <w:rFonts w:ascii="等线(中文正文)" w:hAnsi="等线(中文正文)" w:cs="等线(中文正文)" w:eastAsia="等线(中文正文)"/>
          <w:b w:val="false"/>
          <w:i w:val="false"/>
          <w:sz w:val="20"/>
        </w:rPr>
        <w:t>发言人1：当前订单的交付要求在2到3个月内完成，最晚不超过5个月。</w:t>
      </w:r>
    </w:p>
    <w:p>
      <w:r>
        <w:rPr>
          <w:rFonts w:ascii="等线(中文正文)" w:hAnsi="等线(中文正文)" w:cs="等线(中文正文)" w:eastAsia="等线(中文正文)"/>
          <w:b w:val="false"/>
          <w:i w:val="false"/>
          <w:sz w:val="20"/>
        </w:rPr>
        <w:t/>
      </w:r>
    </w:p>
    <w:p>
      <w:pPr>
        <w:pStyle w:val="ab"/>
      </w:pPr>
      <w:r>
        <w:t>夏总能否分享一下对于今年及明年整个市场的一些判断信息，特别是关于音乐CPU的需求情况？</w:t>
      </w:r>
    </w:p>
    <w:p>
      <w:r>
        <w:rPr>
          <w:rFonts w:ascii="等线(中文正文)" w:hAnsi="等线(中文正文)" w:cs="等线(中文正文)" w:eastAsia="等线(中文正文)"/>
          <w:b w:val="false"/>
          <w:i w:val="false"/>
          <w:sz w:val="20"/>
        </w:rPr>
        <w:t>发言人1：音乐CPU的需求价值量较大，尤其是在北美市场有相关推进分析。目前关注的重点是音乐CD的需求情况以及iraq和音若这两个点。</w:t>
      </w:r>
    </w:p>
    <w:p>
      <w:r>
        <w:rPr>
          <w:rFonts w:ascii="等线(中文正文)" w:hAnsi="等线(中文正文)" w:cs="等线(中文正文)" w:eastAsia="等线(中文正文)"/>
          <w:b w:val="false"/>
          <w:i w:val="false"/>
          <w:sz w:val="20"/>
        </w:rPr>
        <w:t/>
      </w:r>
    </w:p>
    <w:p>
      <w:pPr>
        <w:pStyle w:val="ab"/>
      </w:pPr>
      <w:r>
        <w:t>你们的产品在设计环节是否有特殊设计以实现较小体积，并且这种设计是否获得了专利保护？</w:t>
      </w:r>
    </w:p>
    <w:p>
      <w:r>
        <w:rPr>
          <w:rFonts w:ascii="等线(中文正文)" w:hAnsi="等线(中文正文)" w:cs="等线(中文正文)" w:eastAsia="等线(中文正文)"/>
          <w:b w:val="false"/>
          <w:i w:val="false"/>
          <w:sz w:val="20"/>
        </w:rPr>
        <w:t>发言人1：我们的产品体积小是因为我们主要面向汽车领域，对体积有较高要求；同时，在早期设计阶段就参与客户布局，使得产品能在狭小空间中生存。这种设计创新已申请专利保护。</w:t>
      </w:r>
    </w:p>
    <w:p>
      <w:r>
        <w:rPr>
          <w:rFonts w:ascii="等线(中文正文)" w:hAnsi="等线(中文正文)" w:cs="等线(中文正文)" w:eastAsia="等线(中文正文)"/>
          <w:b w:val="false"/>
          <w:i w:val="false"/>
          <w:sz w:val="20"/>
        </w:rPr>
        <w:t/>
      </w:r>
    </w:p>
    <w:p>
      <w:pPr>
        <w:pStyle w:val="ab"/>
      </w:pPr>
      <w:r>
        <w:t>水泵产品的开发认证周期是多久，这是否说明公司在大功率电子水泵环节具有领先优势？</w:t>
      </w:r>
    </w:p>
    <w:p>
      <w:r>
        <w:rPr>
          <w:rFonts w:ascii="等线(中文正文)" w:hAnsi="等线(中文正文)" w:cs="等线(中文正文)" w:eastAsia="等线(中文正文)"/>
          <w:b w:val="false"/>
          <w:i w:val="false"/>
          <w:sz w:val="20"/>
        </w:rPr>
        <w:t>发言人1：水泵产品的开发认证周期通常为1到2年，这确实体现了我们在大功率电子水泵领域的领先优势。</w:t>
      </w:r>
    </w:p>
    <w:p>
      <w:r>
        <w:rPr>
          <w:rFonts w:ascii="等线(中文正文)" w:hAnsi="等线(中文正文)" w:cs="等线(中文正文)" w:eastAsia="等线(中文正文)"/>
          <w:b w:val="false"/>
          <w:i w:val="false"/>
          <w:sz w:val="20"/>
        </w:rPr>
        <w:t/>
      </w:r>
    </w:p>
    <w:p>
      <w:pPr>
        <w:pStyle w:val="ab"/>
      </w:pPr>
      <w:r>
        <w:t>公司如何应对客户临时需求或具有挑战性的需求？</w:t>
      </w:r>
    </w:p>
    <w:p>
      <w:r>
        <w:rPr>
          <w:rFonts w:ascii="等线(中文正文)" w:hAnsi="等线(中文正文)" w:cs="等线(中文正文)" w:eastAsia="等线(中文正文)"/>
          <w:b w:val="false"/>
          <w:i w:val="false"/>
          <w:sz w:val="20"/>
        </w:rPr>
        <w:t>发言人1：我们依托于已建立的四大平台，对于通用需求有完善的平台产品（需要1到2年开发），对于特定客户需求则在平台上进行水利设计和快速迭代开发，形成与客户共同设计的优势。</w:t>
      </w:r>
    </w:p>
    <w:p>
      <w:r>
        <w:rPr>
          <w:rFonts w:ascii="等线(中文正文)" w:hAnsi="等线(中文正文)" w:cs="等线(中文正文)" w:eastAsia="等线(中文正文)"/>
          <w:b w:val="false"/>
          <w:i w:val="false"/>
          <w:sz w:val="20"/>
        </w:rPr>
        <w:t/>
      </w:r>
    </w:p>
    <w:p>
      <w:pPr>
        <w:pStyle w:val="ab"/>
      </w:pPr>
      <w:r>
        <w:t>关于IRAQ和InRok产品，它们各自适用于哪些使用需求，下游客户群体分别是什么？</w:t>
      </w:r>
    </w:p>
    <w:p>
      <w:r>
        <w:rPr>
          <w:rFonts w:ascii="等线(中文正文)" w:hAnsi="等线(中文正文)" w:cs="等线(中文正文)" w:eastAsia="等线(中文正文)"/>
          <w:b w:val="false"/>
          <w:i w:val="false"/>
          <w:sz w:val="20"/>
        </w:rPr>
        <w:t>发言人1：IRAQ适合大型数据中心、算力集中点等场景，而InRok则更适合小型算力需求，如三五柜配置，其在外围建设成本较低，适合城市中心或独立区域，对电力需求和审批要求严格。</w:t>
      </w:r>
    </w:p>
    <w:p>
      <w:r>
        <w:rPr>
          <w:rFonts w:ascii="等线(中文正文)" w:hAnsi="等线(中文正文)" w:cs="等线(中文正文)" w:eastAsia="等线(中文正文)"/>
          <w:b w:val="false"/>
          <w:i w:val="false"/>
          <w:sz w:val="20"/>
        </w:rPr>
        <w:t/>
      </w:r>
    </w:p>
    <w:p>
      <w:pPr>
        <w:pStyle w:val="ab"/>
      </w:pPr>
      <w:r>
        <w:t>在散热方面，医院的设备对不同功率的需求比例大概是怎样的？是4比6还是3比7？谁是三谁是七呢？</w:t>
      </w:r>
    </w:p>
    <w:p>
      <w:r>
        <w:rPr>
          <w:rFonts w:ascii="等线(中文正文)" w:hAnsi="等线(中文正文)" w:cs="等线(中文正文)" w:eastAsia="等线(中文正文)"/>
          <w:b w:val="false"/>
          <w:i w:val="false"/>
          <w:sz w:val="20"/>
        </w:rPr>
        <w:t>发言人1：4比6和3比7这个比例指的是量级关系，而不是价格。其中提到的是音热与in rock产品，它们的散热能力与散热量成正比。在市场角度看，同等条件下，音热和in rock产品之间存在6比4或7比3的量级关系。</w:t>
      </w:r>
    </w:p>
    <w:p>
      <w:r>
        <w:rPr>
          <w:rFonts w:ascii="等线(中文正文)" w:hAnsi="等线(中文正文)" w:cs="等线(中文正文)" w:eastAsia="等线(中文正文)"/>
          <w:b w:val="false"/>
          <w:i w:val="false"/>
          <w:sz w:val="20"/>
        </w:rPr>
        <w:t/>
      </w:r>
    </w:p>
    <w:p>
      <w:pPr>
        <w:pStyle w:val="ab"/>
      </w:pPr>
      <w:r>
        <w:t>对于大功率CDU（中央处理单元），下游客户在选择泵的功率时会如何决策？</w:t>
      </w:r>
    </w:p>
    <w:p>
      <w:r>
        <w:rPr>
          <w:rFonts w:ascii="等线(中文正文)" w:hAnsi="等线(中文正文)" w:cs="等线(中文正文)" w:eastAsia="等线(中文正文)"/>
          <w:b w:val="false"/>
          <w:i w:val="false"/>
          <w:sz w:val="20"/>
        </w:rPr>
        <w:t>发言人1：国内航级CPU主要以0.9、1.0、1.2兆瓦为主，适配15千瓦、22千瓦的泵；达到1.5千瓦至2.0千瓦可能适合22千瓦至37千瓦的泵；而2.5千瓦以上，尤其是3.0千瓦，则更适合选择22千瓦或37千瓦的泵，并且可能会采取2加1的方式配置以应对2.6兆瓦至3.0兆瓦的需求。未来，随着更大功率水泵的推出，市场将结合资产需求来提高水泵功率，如45千瓦的产品，若下游CPU整体功率越大，对更大功率水泵的需求也会相应增多。</w:t>
      </w:r>
    </w:p>
    <w:p>
      <w:r>
        <w:rPr>
          <w:rFonts w:ascii="等线(中文正文)" w:hAnsi="等线(中文正文)" w:cs="等线(中文正文)" w:eastAsia="等线(中文正文)"/>
          <w:b w:val="false"/>
          <w:i w:val="false"/>
          <w:sz w:val="20"/>
        </w:rPr>
        <w:t/>
      </w:r>
    </w:p>
    <w:p>
      <w:pPr>
        <w:pStyle w:val="ab"/>
      </w:pPr>
      <w:r>
        <w:t>如果有一个两兆瓦的CPU，会采用怎样的泵的配置模式？关于公司终端北美市场需求的出货节奏以及新客户的验证进展能否分享一下？</w:t>
      </w:r>
    </w:p>
    <w:p>
      <w:r>
        <w:rPr>
          <w:rFonts w:ascii="等线(中文正文)" w:hAnsi="等线(中文正文)" w:cs="等线(中文正文)" w:eastAsia="等线(中文正文)"/>
          <w:b w:val="false"/>
          <w:i w:val="false"/>
          <w:sz w:val="20"/>
        </w:rPr>
        <w:t>发言人1：对于两兆瓦的CPU，可能会采用一加一模式，即使用一台37千瓦的泵；若达到三兆瓦甚至更大，则可能采用2加1的模式。这部分问题更适合现场调研提出，不便在此直接回答。</w:t>
      </w:r>
    </w:p>
    <w:p>
      <w:r>
        <w:rPr>
          <w:rFonts w:ascii="等线(中文正文)" w:hAnsi="等线(中文正文)" w:cs="等线(中文正文)" w:eastAsia="等线(中文正文)"/>
          <w:b w:val="false"/>
          <w:i w:val="false"/>
          <w:sz w:val="20"/>
        </w:rPr>
        <w:t/>
      </w:r>
    </w:p>
    <w:p>
      <w:pPr>
        <w:pStyle w:val="ab"/>
      </w:pPr>
      <w:r>
        <w:t>对于电子水泵领域明年行业的空间、格局以及客户进展的看法？</w:t>
      </w:r>
    </w:p>
    <w:p>
      <w:r>
        <w:rPr>
          <w:rFonts w:ascii="等线(中文正文)" w:hAnsi="等线(中文正文)" w:cs="等线(中文正文)" w:eastAsia="等线(中文正文)"/>
          <w:b w:val="false"/>
          <w:i w:val="false"/>
          <w:sz w:val="20"/>
        </w:rPr>
        <w:t>发言人1：当前数据显示，北美新老客户正倾向于使用更大功率的CPU，且目前采用的是AC方向，但未来也会有DC800伏的要求提上日程，AC380伏和480伏的产品将重叠存在。对于明年的预期，预计从2023年开始，尤其是2027年和2028年，行业将呈现指数级增长。</w:t>
      </w:r>
    </w:p>
    <w:p>
      <w:r>
        <w:rPr>
          <w:rFonts w:ascii="等线(中文正文)" w:hAnsi="等线(中文正文)" w:cs="等线(中文正文)" w:eastAsia="等线(中文正文)"/>
          <w:b w:val="false"/>
          <w:i w:val="false"/>
          <w:sz w:val="20"/>
        </w:rPr>
        <w:t/>
      </w:r>
    </w:p>
    <w:p>
      <w:pPr>
        <w:pStyle w:val="ab"/>
      </w:pPr>
      <w:r>
        <w:t>现有订单的交付时间是何时？未来滚动订单应如何展望？</w:t>
      </w:r>
    </w:p>
    <w:p>
      <w:r>
        <w:rPr>
          <w:rFonts w:ascii="等线(中文正文)" w:hAnsi="等线(中文正文)" w:cs="等线(中文正文)" w:eastAsia="等线(中文正文)"/>
          <w:b w:val="false"/>
          <w:i w:val="false"/>
          <w:sz w:val="20"/>
        </w:rPr>
        <w:t>发言人1：当前订单交付周期大约在三个月到四个月之间。未来一段时间的表现请关注公告或在特定条件下进行分享。</w:t>
      </w:r>
    </w:p>
    <w:p>
      <w:r>
        <w:rPr>
          <w:rFonts w:ascii="等线(中文正文)" w:hAnsi="等线(中文正文)" w:cs="等线(中文正文)" w:eastAsia="等线(中文正文)"/>
          <w:b w:val="false"/>
          <w:i w:val="false"/>
          <w:sz w:val="20"/>
        </w:rPr>
        <w:t/>
      </w:r>
    </w:p>
    <w:p>
      <w:pPr>
        <w:pStyle w:val="ab"/>
      </w:pPr>
      <w:r>
        <w:t>公司主业受到传统汽车销量影响，对于今年下半年的生产经营情况有何展望？</w:t>
      </w:r>
    </w:p>
    <w:p>
      <w:r>
        <w:rPr>
          <w:rFonts w:ascii="等线(中文正文)" w:hAnsi="等线(中文正文)" w:cs="等线(中文正文)" w:eastAsia="等线(中文正文)"/>
          <w:b w:val="false"/>
          <w:i w:val="false"/>
          <w:sz w:val="20"/>
        </w:rPr>
        <w:t>发言人1：预计三季度主业会有改善，但盈利空间仍面临较大压力。目前看到的情况是订单量在二季度有所回升，而营收增长的同时，盈利空间承压明显。泰国工厂产能主要用于出口北美业务，今年预计能完成约三个亿左右的产能。</w:t>
      </w:r>
    </w:p>
    <w:p>
      <w:r>
        <w:rPr>
          <w:rFonts w:ascii="等线(中文正文)" w:hAnsi="等线(中文正文)" w:cs="等线(中文正文)" w:eastAsia="等线(中文正文)"/>
          <w:b w:val="false"/>
          <w:i w:val="false"/>
          <w:sz w:val="20"/>
        </w:rPr>
        <w:t/>
      </w:r>
    </w:p>
    <w:p>
      <w:pPr>
        <w:pStyle w:val="ab"/>
      </w:pPr>
      <w:r>
        <w:t>泰国工厂当前产能贡献情况及对未来几个月的预期？</w:t>
      </w:r>
    </w:p>
    <w:p>
      <w:r>
        <w:rPr>
          <w:rFonts w:ascii="等线(中文正文)" w:hAnsi="等线(中文正文)" w:cs="等线(中文正文)" w:eastAsia="等线(中文正文)"/>
          <w:b w:val="false"/>
          <w:i w:val="false"/>
          <w:sz w:val="20"/>
        </w:rPr>
        <w:t>发言人1：泰国工厂自三月份开始试生产，前半年贡献度不大，大概只有大几千万的营收。但随着生产逐渐释放，下半年特别是后几个月，营收可能会有所提升，全年预计可实现3个亿左右的营收。</w:t>
      </w:r>
    </w:p>
    <w:p>
      <w:r>
        <w:rPr>
          <w:rFonts w:ascii="等线(中文正文)" w:hAnsi="等线(中文正文)" w:cs="等线(中文正文)" w:eastAsia="等线(中文正文)"/>
          <w:b w:val="false"/>
          <w:i w:val="false"/>
          <w:sz w:val="20"/>
        </w:rPr>
        <w:t/>
      </w:r>
    </w:p>
    <w:p>
      <w:pPr>
        <w:pStyle w:val="ab"/>
      </w:pPr>
      <w:r>
        <w:t>请教一下咱们22千瓦以上及以上的泵，目前的产能情况和产能规划是怎样的？</w:t>
      </w:r>
    </w:p>
    <w:p>
      <w:r>
        <w:rPr>
          <w:rFonts w:ascii="等线(中文正文)" w:hAnsi="等线(中文正文)" w:cs="等线(中文正文)" w:eastAsia="等线(中文正文)"/>
          <w:b w:val="false"/>
          <w:i w:val="false"/>
          <w:sz w:val="20"/>
        </w:rPr>
        <w:t>发言人1：我们公司在制定产能时，尽量朝着自动化方向布局。当前产能能满足较大需求，预计在年底会有新的生产线完成并交付。未来一段时间内，由于明年或后年的需求增长，我们有相应的生产线规划。</w:t>
      </w:r>
    </w:p>
    <w:p>
      <w:r>
        <w:rPr>
          <w:rFonts w:ascii="等线(中文正文)" w:hAnsi="等线(中文正文)" w:cs="等线(中文正文)" w:eastAsia="等线(中文正文)"/>
          <w:b w:val="false"/>
          <w:i w:val="false"/>
          <w:sz w:val="20"/>
        </w:rPr>
        <w:t/>
      </w:r>
    </w:p>
    <w:p>
      <w:pPr>
        <w:pStyle w:val="ab"/>
      </w:pPr>
      <w:r>
        <w:t>公司在AIDC领域的发展规划及业务战略定位是怎样的？</w:t>
      </w:r>
    </w:p>
    <w:p>
      <w:r>
        <w:rPr>
          <w:rFonts w:ascii="等线(中文正文)" w:hAnsi="等线(中文正文)" w:cs="等线(中文正文)" w:eastAsia="等线(中文正文)"/>
          <w:b w:val="false"/>
          <w:i w:val="false"/>
          <w:sz w:val="20"/>
        </w:rPr>
        <w:t>发言人1：公司半年报提到了在AI数据中心备用电源领域的布局，并开发了适配市场的90升左右超大功率接水泵，以及后续规划有100升以上的机械水泵研发。客户包括康明斯、陡山和上海新动力等头部企业。公司在AIDC领域的大部分规划是基于其机械水泵强项，关注备用电源和移动发电场景，目前已有部分小批量订单落地，正通过研发拓展新的增长空间。</w:t>
      </w:r>
    </w:p>
    <w:p>
      <w:r>
        <w:rPr>
          <w:rFonts w:ascii="等线(中文正文)" w:hAnsi="等线(中文正文)" w:cs="等线(中文正文)" w:eastAsia="等线(中文正文)"/>
          <w:b w:val="false"/>
          <w:i w:val="false"/>
          <w:sz w:val="20"/>
        </w:rPr>
        <w:t/>
      </w:r>
    </w:p>
    <w:p>
      <w:pPr>
        <w:pStyle w:val="ab"/>
      </w:pPr>
      <w:r>
        <w:t>关于90升至130升超大规格接水泵的定价情况以及对未来需求量的展望如何？</w:t>
      </w:r>
    </w:p>
    <w:p>
      <w:r>
        <w:rPr>
          <w:rFonts w:ascii="等线(中文正文)" w:hAnsi="等线(中文正文)" w:cs="等线(中文正文)" w:eastAsia="等线(中文正文)"/>
          <w:b w:val="false"/>
          <w:i w:val="false"/>
          <w:sz w:val="20"/>
        </w:rPr>
        <w:t>发言人1：目前这批产品与车辆市场相比，价值量还不便透露，因为涉及多家客户，且正处于研发及小批量订单阶段。当大批量生产后，会根据市场情况再分享具体价值量信息。现在这批产品在批量生产起步阶段，涉及多家国内外客户，故相关定价保持保密。</w:t>
      </w:r>
    </w:p>
    <w:p>
      <w:r>
        <w:rPr>
          <w:rFonts w:ascii="等线(中文正文)" w:hAnsi="等线(中文正文)" w:cs="等线(中文正文)" w:eastAsia="等线(中文正文)"/>
          <w:b w:val="false"/>
          <w:i w:val="false"/>
          <w:sz w:val="20"/>
        </w:rPr>
        <w:t/>
      </w:r>
    </w:p>
    <w:p>
      <w:pPr>
        <w:pStyle w:val="ab"/>
      </w:pPr>
      <w:r>
        <w:t>公司在医疗和机器人领域的资源倾斜程度以及后续成长性展望如何？</w:t>
      </w:r>
    </w:p>
    <w:p>
      <w:r>
        <w:rPr>
          <w:rFonts w:ascii="等线(中文正文)" w:hAnsi="等线(中文正文)" w:cs="等线(中文正文)" w:eastAsia="等线(中文正文)"/>
          <w:b w:val="false"/>
          <w:i w:val="false"/>
          <w:sz w:val="20"/>
        </w:rPr>
        <w:t>发言人1：公司在医疗和机器人领域有所布局，但相较于其他产品，进展稍慢。目前正尝试高端医疗市场，相关产品正在进行测试阶段。尽管如此，预计未来畸形这一块可能会比医疗领域发展更快，因为医疗领域还面临一些准入问题。</w:t>
      </w:r>
    </w:p>
    <w:p>
      <w:r>
        <w:rPr>
          <w:rFonts w:ascii="等线(中文正文)" w:hAnsi="等线(中文正文)" w:cs="等线(中文正文)" w:eastAsia="等线(中文正文)"/>
          <w:b w:val="false"/>
          <w:i w:val="false"/>
          <w:sz w:val="20"/>
        </w:rPr>
        <w:t/>
      </w:r>
    </w:p>
    <w:p>
      <w:pPr>
        <w:pStyle w:val="ab"/>
      </w:pPr>
      <w:r>
        <w:t>在端侧AI领域，特别是在PC场景下，公司做了哪些微泵，并且对于这个市场的竞争格局和未来展望有何见解？</w:t>
      </w:r>
    </w:p>
    <w:p>
      <w:r>
        <w:rPr>
          <w:rFonts w:ascii="等线(中文正文)" w:hAnsi="等线(中文正文)" w:cs="等线(中文正文)" w:eastAsia="等线(中文正文)"/>
          <w:b w:val="false"/>
          <w:i w:val="false"/>
          <w:sz w:val="20"/>
        </w:rPr>
        <w:t>发言人1：当前AIPC市场的热度非常高，客户对此非常感兴趣。我们公司针对这一市场有多款产品在开发中，部分产品已进入小批量出货阶段。预计今年会有一定的出货量，明年将会有一个高峰值。全年有七八千万台电脑市场需求，三层、五层等不同层级的应用带来的市场空间非常广阔。</w:t>
      </w:r>
    </w:p>
    <w:p>
      <w:r>
        <w:rPr>
          <w:rFonts w:ascii="等线(中文正文)" w:hAnsi="等线(中文正文)" w:cs="等线(中文正文)" w:eastAsia="等线(中文正文)"/>
          <w:b w:val="false"/>
          <w:i w:val="false"/>
          <w:sz w:val="20"/>
        </w:rPr>
        <w:t/>
      </w:r>
    </w:p>
    <w:p>
      <w:pPr>
        <w:pStyle w:val="ab"/>
      </w:pPr>
      <w:r>
        <w:t>新能源汽车和非车端业务在营收占比上的提升，主要是由新能源汽车放量带动的吗？</w:t>
      </w:r>
    </w:p>
    <w:p>
      <w:r>
        <w:rPr>
          <w:rFonts w:ascii="等线(中文正文)" w:hAnsi="等线(中文正文)" w:cs="等线(中文正文)" w:eastAsia="等线(中文正文)"/>
          <w:b w:val="false"/>
          <w:i w:val="false"/>
          <w:sz w:val="20"/>
        </w:rPr>
        <w:t>发言人1：是的，新能源汽车领域的放量是导致这一块营收占比提升的主要原因。尽管非车端业务前半年增长不多，但随着下半年大规模订单的陆续交付，预计非车端业务的比例会有较大提高。我们预测非新能源业务营收占比可以达到30%以上，不过实际结果还受到订单节奏和产能释放等因素的影响。</w:t>
      </w:r>
    </w:p>
    <w:p>
      <w:r>
        <w:rPr>
          <w:rFonts w:ascii="等线(中文正文)" w:hAnsi="等线(中文正文)" w:cs="等线(中文正文)" w:eastAsia="等线(中文正文)"/>
          <w:b w:val="false"/>
          <w:i w:val="false"/>
          <w:sz w:val="20"/>
        </w:rPr>
        <w:t/>
      </w:r>
    </w:p>
    <w:p>
      <w:pPr>
        <w:pStyle w:val="ab"/>
      </w:pPr>
      <w:r>
        <w:t>对于主材成本方面，您觉得下半年毛利率会保持上半年的水平还是有修复的可能性？</w:t>
      </w:r>
    </w:p>
    <w:p>
      <w:r>
        <w:rPr>
          <w:rFonts w:ascii="等线(中文正文)" w:hAnsi="等线(中文正文)" w:cs="等线(中文正文)" w:eastAsia="等线(中文正文)"/>
          <w:b w:val="false"/>
          <w:i w:val="false"/>
          <w:sz w:val="20"/>
        </w:rPr>
        <w:t>发言人1：根据目前状态判断，车端的毛利率可能会有一定程度的修复，但修复幅度可能不会特别大。主要基于两点考虑：一是营收端仍需保持增长，尤其是海外市场；二是汇率无法控制，虽然采取了期货等手段管理风险，但整体影响可能不会特别显著。</w:t>
      </w:r>
    </w:p>
    <w:p>
      <w:r>
        <w:rPr>
          <w:rFonts w:ascii="等线(中文正文)" w:hAnsi="等线(中文正文)" w:cs="等线(中文正文)" w:eastAsia="等线(中文正文)"/>
          <w:b w:val="false"/>
          <w:i w:val="false"/>
          <w:sz w:val="20"/>
        </w:rPr>
        <w:t/>
      </w:r>
    </w:p>
    <w:p>
      <w:pPr>
        <w:pStyle w:val="ab"/>
      </w:pPr>
      <w:r>
        <w:t>针对市场竞争加剧导致的超年现象，以及三四季度的展望，您觉得情况会比二季度更好吗？</w:t>
      </w:r>
    </w:p>
    <w:p>
      <w:r>
        <w:rPr>
          <w:rFonts w:ascii="等线(中文正文)" w:hAnsi="等线(中文正文)" w:cs="等线(中文正文)" w:eastAsia="等线(中文正文)"/>
          <w:b w:val="false"/>
          <w:i w:val="false"/>
          <w:sz w:val="20"/>
        </w:rPr>
        <w:t>发言人1：目前看来，三季度的情况可能会比二季度有所改善。七月份已过，八月份以来状态好转，预计后续不会出现过于激烈的竞争状况。</w:t>
      </w:r>
    </w:p>
    <w:p>
      <w:r>
        <w:rPr>
          <w:rFonts w:ascii="等线(中文正文)" w:hAnsi="等线(中文正文)" w:cs="等线(中文正文)" w:eastAsia="等线(中文正文)"/>
          <w:b w:val="false"/>
          <w:i w:val="false"/>
          <w:sz w:val="20"/>
        </w:rPr>
        <w:t/>
      </w:r>
    </w:p>
    <w:p>
      <w:pPr>
        <w:pStyle w:val="ab"/>
      </w:pPr>
      <w:r>
        <w:t>关于海外产能建设，尤其是液冷产能在越南的规划及产能释放节奏，能否分享一下前瞻性的信息？</w:t>
      </w:r>
    </w:p>
    <w:p>
      <w:r>
        <w:rPr>
          <w:rFonts w:ascii="等线(中文正文)" w:hAnsi="等线(中文正文)" w:cs="等线(中文正文)" w:eastAsia="等线(中文正文)"/>
          <w:b w:val="false"/>
          <w:i w:val="false"/>
          <w:sz w:val="20"/>
        </w:rPr>
        <w:t>发言人1：公司非常重视海外产能建设，尤其是越南工厂的规划。越南工厂主要面向台厂的CPU厂商，如co master和其他CU厂商，是为了更好地配合客户需求。目前，越南和泰国的产能建设已在短期内开始有实质动作，我们将按照示范基地的辐射效应来推动全球化制造能力的提升。</w:t>
      </w:r>
    </w:p>
    <w:p>
      <w:r>
        <w:rPr>
          <w:rFonts w:ascii="等线(中文正文)" w:hAnsi="等线(中文正文)" w:cs="等线(中文正文)" w:eastAsia="等线(中文正文)"/>
          <w:b w:val="false"/>
          <w:i w:val="false"/>
          <w:sz w:val="20"/>
        </w:rPr>
        <w:t/>
      </w:r>
    </w:p>
    <w:p>
      <w:pPr>
        <w:pStyle w:val="ab"/>
      </w:pPr>
      <w:r>
        <w:t>在今天的会议上，公司对于半年报中的客户情况和订单信息做了怎样的介绍？</w:t>
      </w:r>
    </w:p>
    <w:p>
      <w:r>
        <w:rPr>
          <w:rFonts w:ascii="等线(中文正文)" w:hAnsi="等线(中文正文)" w:cs="等线(中文正文)" w:eastAsia="等线(中文正文)"/>
          <w:b w:val="false"/>
          <w:i w:val="false"/>
          <w:sz w:val="20"/>
        </w:rPr>
        <w:t>发言人1：在今天的会议上，我们主要介绍了半年报中的客户需求情况，包括小功率10千瓦以下泵的5万台以及大功率10千瓦以上的水泵，特别是22至37千瓦的水泵对应的客户群体。同时，我们也提到了与全球主要CPU厂商特别是CDO厂商的合作情况，并明确表示这些厂商涵盖了整个液冷行业中的大部分客户。此外，我们还提及了N客户、G客户和W客户等终端客户的详细信息，并指出我们的半年报是行业内首个公开明确订单信息的响应文件，能从中看出液冷行业未来的市场趋势和需求增长。</w:t>
      </w:r>
    </w:p>
    <w:p>
      <w:r>
        <w:rPr>
          <w:rFonts w:ascii="等线(中文正文)" w:hAnsi="等线(中文正文)" w:cs="等线(中文正文)" w:eastAsia="等线(中文正文)"/>
          <w:b w:val="false"/>
          <w:i w:val="false"/>
          <w:sz w:val="20"/>
        </w:rPr>
        <w:t/>
      </w:r>
    </w:p>
    <w:p>
      <w:pPr>
        <w:pStyle w:val="ab"/>
      </w:pPr>
      <w:r>
        <w:t>公司如何从订单和交付节奏上感受到液冷行业的贝塔效应即将到来？</w:t>
      </w:r>
    </w:p>
    <w:p>
      <w:r>
        <w:rPr>
          <w:rFonts w:ascii="等线(中文正文)" w:hAnsi="等线(中文正文)" w:cs="等线(中文正文)" w:eastAsia="等线(中文正文)"/>
          <w:b w:val="false"/>
          <w:i w:val="false"/>
          <w:sz w:val="20"/>
        </w:rPr>
        <w:t>发言人1：在整个液冷行业中，由于T two环节会前置下订单，进而带动备产和交付，再传递到CDU厂商，最终到达终端客户进行数据中心建设，因此水泵环节在整个产业链中是非常前置的。从公司的订单和交付安排上，我们可以明显感受到这种指向性的发展趋势，预示着液冷行业的贝塔效应即将来临，建议领导们重点关注九月份的市场行情。</w:t>
      </w:r>
    </w:p>
    <w:p>
      <w:r>
        <w:rPr>
          <w:rFonts w:ascii="等线(中文正文)" w:hAnsi="等线(中文正文)" w:cs="等线(中文正文)" w:eastAsia="等线(中文正文)"/>
          <w:b w:val="false"/>
          <w:i w:val="false"/>
          <w:sz w:val="20"/>
        </w:rPr>
        <w:t/>
      </w:r>
    </w:p>
    <w:p>
      <w:pPr>
        <w:pStyle w:val="ab"/>
      </w:pPr>
      <w:r>
        <w:t>对于整个液冷行业选股而言，有哪些重要的维度？</w:t>
      </w:r>
    </w:p>
    <w:p>
      <w:r>
        <w:rPr>
          <w:rFonts w:ascii="等线(中文正文)" w:hAnsi="等线(中文正文)" w:cs="等线(中文正文)" w:eastAsia="等线(中文正文)"/>
          <w:b w:val="false"/>
          <w:i w:val="false"/>
          <w:sz w:val="20"/>
        </w:rPr>
        <w:t>发言人1：在液冷行业选股时，有四个关键维度需要关注：首先是从估值角度看，倾向于选择低估值标的；其次，在低估值范围内，必须考虑高确定性，而飞龙已经通过实际订单向市场传递了高确定性；再者，格局要好，目前电子水泵领域外资基本未参与，内资经过多年的平台化布局和客户研发验证，形成了良好的市场格局；最后，产品要有高壁垒，目前看来，在满足这四个维度的公司中，除了飞龙之外，很难再找到第二家同时符合这些条件的公司。</w:t>
      </w:r>
    </w:p>
    <w:p>
      <w:r>
        <w:rPr>
          <w:rFonts w:ascii="等线(中文正文)" w:hAnsi="等线(中文正文)" w:cs="等线(中文正文)" w:eastAsia="等线(中文正文)"/>
          <w:b w:val="false"/>
          <w:i w:val="false"/>
          <w:sz w:val="20"/>
        </w:rPr>
        <w:t/>
      </w:r>
    </w:p>
    <w:p>
      <w:pPr>
        <w:pStyle w:val="ab"/>
      </w:pPr>
      <w:r>
        <w:t>为何持续推荐并重点跟踪飞龙公司？</w:t>
      </w:r>
    </w:p>
    <w:p>
      <w:r>
        <w:rPr>
          <w:rFonts w:ascii="等线(中文正文)" w:hAnsi="等线(中文正文)" w:cs="等线(中文正文)" w:eastAsia="等线(中文正文)"/>
          <w:b w:val="false"/>
          <w:i w:val="false"/>
          <w:sz w:val="20"/>
        </w:rPr>
        <w:t>发言人1：我们持续重点推荐飞龙公司，是因为它在电子水泵领域具有明显的指向性优势，并且在所有维度的选择上都是最佳的。鉴于其在液冷行业中的突出地位以及当前市场的整体格局，我们建议领导们持续关注飞龙公司后续的发展动态和整个板块的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2026-08-23T03:17:03Z</dcterms:created>
  <dc:creator>Apache POI</dc:creator>
</cp:coreProperties>
</file>