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“专利悬崖”将至，MNC看好哪些下一代自免大药 260819_导读</w:t>
      </w:r>
    </w:p>
    <w:p>
      <w:pPr>
        <w:pStyle w:val="a0"/>
        <w:jc w:val="center"/>
      </w:pPr>
      <w:r>
        <w:t>2026年08月21日 09:15</w:t>
      </w:r>
    </w:p>
    <w:p>
      <w:pPr>
        <w:pStyle w:val="a7"/>
      </w:pPr>
      <w:r>
        <w:t>关键词</w:t>
      </w:r>
    </w:p>
    <w:p>
      <w:r>
        <w:rPr>
          <w:rFonts w:ascii="等线(中文正文)" w:hAnsi="等线(中文正文)" w:cs="等线(中文正文)" w:eastAsia="等线(中文正文)"/>
          <w:b w:val="false"/>
          <w:i w:val="false"/>
          <w:sz w:val="20"/>
        </w:rPr>
        <w:t xml:space="preserve">自勉 MNC 专利悬崖 下一代产品 长效化 双打点 共制剂 口服 银屑病 IBD COPD 哮喘 B细胞 T细胞 多发性硬化 重症肌无力 SLE 乌帕替尼 阿达木单抗 乌斯鲁丹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会议由一家证券公司举行，深入探讨了医药行业的自免（自身免疫）药物市场前景。强调了电话会议的保密性及记录使用限制，随后集中分析自免药物市场未来趋势，特别指出大型制药公司（MNC）在这一领域的策略。讨论了专利悬崖带来的市场机遇，MNC通过研发新药或药物组合来应对专利到期挑战，同时积极寻找未满足的临床需求以进攻市场。聚焦TH2型通路、IBD（炎症性肠病）和B细胞自免疾病等具有潜力的领域。具体公司如艾博韦、强生、赛诺菲等及其在自免药物领域的布局也被提及。强调MNC选择下一代药物时重视产品的长效性、创新性和解决未满足医疗需求的能力。最后，提醒投资者注意市场风险，建议谨慎做投资决策。此次会议为投资者提供了对自免药物市场和MNC策略的深入理解。</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MNC布局自勉大药：守基本盘与创增量盘策略</w:t>
      </w:r>
    </w:p>
    <w:p>
      <w:r>
        <w:rPr>
          <w:rFonts w:ascii="等线(中文正文)" w:hAnsi="等线(中文正文)" w:cs="等线(中文正文)" w:eastAsia="等线(中文正文)"/>
          <w:b w:val="false"/>
          <w:i w:val="false"/>
          <w:sz w:val="20"/>
        </w:rPr>
        <w:t>会议聚焦于跨国制药公司(MNC)在自勉大药领域的布局策略，强调守基本盘与创增量盘两大核心逻辑。守基本盘涉及25年全球1500亿美金市场，MNC需选择接棒产品应对专利到期；创增量盘则瞄准疗效不佳或空白市场，如COPD、IBD等，预期单适应症可创造百亿美金空间。会议旨在从买家角度解析MNC如何攻防布局自勉赛道，确保市场竞争力与增长潜力。</w:t>
      </w:r>
    </w:p>
    <w:p>
      <w:r>
        <w:rPr>
          <w:rFonts w:ascii="等线(中文正文)" w:hAnsi="等线(中文正文)" w:cs="等线(中文正文)" w:eastAsia="等线(中文正文)"/>
          <w:b w:val="false"/>
          <w:i w:val="false"/>
          <w:sz w:val="20"/>
        </w:rPr>
        <w:t/>
      </w:r>
    </w:p>
    <w:p>
      <w:pPr>
        <w:pStyle w:val="ab"/>
        <w:numPr>
          <w:numId w:val="2"/>
        </w:numPr>
      </w:pPr>
      <w:r>
        <w:t>02:40 MNC自勉市场攻防策略分析</w:t>
      </w:r>
    </w:p>
    <w:p>
      <w:r>
        <w:rPr>
          <w:rFonts w:ascii="等线(中文正文)" w:hAnsi="等线(中文正文)" w:cs="等线(中文正文)" w:eastAsia="等线(中文正文)"/>
          <w:b w:val="false"/>
          <w:i w:val="false"/>
          <w:sz w:val="20"/>
        </w:rPr>
        <w:t>对话深入解析了全球自勉市场1500亿美金的分布，细分为T细胞和B细胞两大领域，具体阐述了风湿免疫、皮肤、呼吸及消化道等核心适应症的市场规模与MNC布局。重点介绍了七大龙头企业的下一代产品策略，预示未来5到10年自勉市场的竞争格局。</w:t>
      </w:r>
    </w:p>
    <w:p>
      <w:r>
        <w:rPr>
          <w:rFonts w:ascii="等线(中文正文)" w:hAnsi="等线(中文正文)" w:cs="等线(中文正文)" w:eastAsia="等线(中文正文)"/>
          <w:b w:val="false"/>
          <w:i w:val="false"/>
          <w:sz w:val="20"/>
        </w:rPr>
        <w:t/>
      </w:r>
    </w:p>
    <w:p>
      <w:pPr>
        <w:pStyle w:val="ab"/>
        <w:numPr>
          <w:numId w:val="3"/>
        </w:numPr>
      </w:pPr>
      <w:r>
        <w:t>08:12 艾伯维与强生中报分析及未来布局展望</w:t>
      </w:r>
    </w:p>
    <w:p>
      <w:r>
        <w:rPr>
          <w:rFonts w:ascii="等线(中文正文)" w:hAnsi="等线(中文正文)" w:cs="等线(中文正文)" w:eastAsia="等线(中文正文)"/>
          <w:b w:val="false"/>
          <w:i w:val="false"/>
          <w:sz w:val="20"/>
        </w:rPr>
        <w:t>对话主要围绕艾伯维和强生两家跨国药企的中报分析展开，重点介绍了艾伯维在阿达木单抗专利悬崖后稳健的自勉基本盘，以及通过收购苹果公司获得长效化白介十三单抗等进攻型资产的战略布局。同时提及了艾伯维在IBD领域采用双打点和长效策略进行下一代产品迭代的计划，展现了其在下一代字面布局上的选择。</w:t>
      </w:r>
    </w:p>
    <w:p>
      <w:r>
        <w:rPr>
          <w:rFonts w:ascii="等线(中文正文)" w:hAnsi="等线(中文正文)" w:cs="等线(中文正文)" w:eastAsia="等线(中文正文)"/>
          <w:b w:val="false"/>
          <w:i w:val="false"/>
          <w:sz w:val="20"/>
        </w:rPr>
        <w:t/>
      </w:r>
    </w:p>
    <w:p>
      <w:pPr>
        <w:pStyle w:val="ab"/>
        <w:numPr>
          <w:numId w:val="4"/>
        </w:numPr>
      </w:pPr>
      <w:r>
        <w:t>11:47 GNG面对专利悬崖，强生布局下一代产品</w:t>
      </w:r>
    </w:p>
    <w:p>
      <w:r>
        <w:rPr>
          <w:rFonts w:ascii="等线(中文正文)" w:hAnsi="等线(中文正文)" w:cs="等线(中文正文)" w:eastAsia="等线(中文正文)"/>
          <w:b w:val="false"/>
          <w:i w:val="false"/>
          <w:sz w:val="20"/>
        </w:rPr>
        <w:t>GNG正面临乌斯姆单抗专利悬崖，销售快速下滑，但其新产品股债汽油单抗和口服二三白键环白界二三表现亮眼，有望填补缺口。强生则通过开发长效和控制器产品，如口服二三白介环肽和共制剂，布局IBD下一代治疗方案，展现良好临床效果，成为值得关注的发展路径。</w:t>
      </w:r>
    </w:p>
    <w:p>
      <w:r>
        <w:rPr>
          <w:rFonts w:ascii="等线(中文正文)" w:hAnsi="等线(中文正文)" w:cs="等线(中文正文)" w:eastAsia="等线(中文正文)"/>
          <w:b w:val="false"/>
          <w:i w:val="false"/>
          <w:sz w:val="20"/>
        </w:rPr>
        <w:t/>
      </w:r>
    </w:p>
    <w:p>
      <w:pPr>
        <w:pStyle w:val="ab"/>
        <w:numPr>
          <w:numId w:val="5"/>
        </w:numPr>
      </w:pPr>
      <w:r>
        <w:t>15:00 赛诺菲面临产品管线受挫与战略调整</w:t>
      </w:r>
    </w:p>
    <w:p>
      <w:r>
        <w:rPr>
          <w:rFonts w:ascii="等线(中文正文)" w:hAnsi="等线(中文正文)" w:cs="等线(中文正文)" w:eastAsia="等线(中文正文)"/>
          <w:b w:val="false"/>
          <w:i w:val="false"/>
          <w:sz w:val="20"/>
        </w:rPr>
        <w:t>对话讨论了赛诺菲公司因核心产品dup dup流单抗销售强劲而上调销售目标，但同时也面临后期管线全面受挫的挑战，包括多个项目停止开发。公司正在经历高管层大换血，调整BD和收并购战略，转向后期资产和商业化资产，同时加大中国市场布局，以期通过收购中国自免资产来弥补未来营收缺口。</w:t>
      </w:r>
    </w:p>
    <w:p>
      <w:r>
        <w:rPr>
          <w:rFonts w:ascii="等线(中文正文)" w:hAnsi="等线(中文正文)" w:cs="等线(中文正文)" w:eastAsia="等线(中文正文)"/>
          <w:b w:val="false"/>
          <w:i w:val="false"/>
          <w:sz w:val="20"/>
        </w:rPr>
        <w:t/>
      </w:r>
    </w:p>
    <w:p>
      <w:pPr>
        <w:pStyle w:val="ab"/>
        <w:numPr>
          <w:numId w:val="6"/>
        </w:numPr>
      </w:pPr>
      <w:r>
        <w:t>17:54 罗氏自免龙头管线分析：奥马珠单抗与奥瑞利珠单抗的未来</w:t>
      </w:r>
    </w:p>
    <w:p>
      <w:r>
        <w:rPr>
          <w:rFonts w:ascii="等线(中文正文)" w:hAnsi="等线(中文正文)" w:cs="等线(中文正文)" w:eastAsia="等线(中文正文)"/>
          <w:b w:val="false"/>
          <w:i w:val="false"/>
          <w:sz w:val="20"/>
        </w:rPr>
        <w:t>讨论了罗氏在B细胞自免领域的领先地位，重点分析了奥马珠单抗和奥瑞利珠单抗的市场表现和未来策略。奥马珠单抗面临生物类似物冲击，罗氏计划用BTK接棒；奥瑞利珠单抗则通过BTK成功接棒，预计年内提交申报，表现良好。</w:t>
      </w:r>
    </w:p>
    <w:p>
      <w:r>
        <w:rPr>
          <w:rFonts w:ascii="等线(中文正文)" w:hAnsi="等线(中文正文)" w:cs="等线(中文正文)" w:eastAsia="等线(中文正文)"/>
          <w:b w:val="false"/>
          <w:i w:val="false"/>
          <w:sz w:val="20"/>
        </w:rPr>
        <w:t/>
      </w:r>
    </w:p>
    <w:p>
      <w:pPr>
        <w:pStyle w:val="ab"/>
        <w:numPr>
          <w:numId w:val="7"/>
        </w:numPr>
      </w:pPr>
      <w:r>
        <w:t>19:35 罗氏与诺华在肾病及自免疾病领域的布局与竞争</w:t>
      </w:r>
    </w:p>
    <w:p>
      <w:r>
        <w:rPr>
          <w:rFonts w:ascii="等线(中文正文)" w:hAnsi="等线(中文正文)" w:cs="等线(中文正文)" w:eastAsia="等线(中文正文)"/>
          <w:b w:val="false"/>
          <w:i w:val="false"/>
          <w:sz w:val="20"/>
        </w:rPr>
        <w:t>对话聚焦于罗氏和诺华在肾病及自免疾病领域的战略布局。罗氏正通过二单抗和小核酸技术在肾病领域展开攻势，特别是在SLE、INS、原发性膜性肾病等适应症上，以及针对IGA肾病的CFBASO三期临床研究。诺华则在银屑病、多发性硬化等自免疾病领域，通过斯库奇尤单抗、奥法妥木单抗等产品线布局，并以BTK抑制剂氯米布替尼和长效IG单抗接棒奥马珠单抗市场，同时关注RMS复发缓解型多发性硬化的临床数据以挑战罗氏在BTK抑制剂市场的地位。</w:t>
      </w:r>
    </w:p>
    <w:p>
      <w:r>
        <w:rPr>
          <w:rFonts w:ascii="等线(中文正文)" w:hAnsi="等线(中文正文)" w:cs="等线(中文正文)" w:eastAsia="等线(中文正文)"/>
          <w:b w:val="false"/>
          <w:i w:val="false"/>
          <w:sz w:val="20"/>
        </w:rPr>
        <w:t/>
      </w:r>
    </w:p>
    <w:p>
      <w:pPr>
        <w:pStyle w:val="ab"/>
        <w:numPr>
          <w:numId w:val="8"/>
        </w:numPr>
      </w:pPr>
      <w:r>
        <w:t>22:45 呼吸龙头GSK与阿斯利康下一代产品布局对比</w:t>
      </w:r>
    </w:p>
    <w:p>
      <w:r>
        <w:rPr>
          <w:rFonts w:ascii="等线(中文正文)" w:hAnsi="等线(中文正文)" w:cs="等线(中文正文)" w:eastAsia="等线(中文正文)"/>
          <w:b w:val="false"/>
          <w:i w:val="false"/>
          <w:sz w:val="20"/>
        </w:rPr>
        <w:t>对话讨论了呼吸领域两大龙头GSK和阿斯利康在面对仿制药竞争时，如何布局下一代呼吸产品。GSK聚焦长效产品，如与恒瑞医药合作的长效TSOP单抗，以及长效白T33和白T5单抗。阿斯利康则采取更灵活策略，布局全球最快的白键33单抗和吸入制剂，如与安静合作的TSLP吸入制剂，以及与中国生物制药合作的PD three four抑制剂1177。两者均寻求通过创新产品应对市场挑战，GSK强调长效化，阿斯利康则多样化布局。</w:t>
      </w:r>
    </w:p>
    <w:p>
      <w:r>
        <w:rPr>
          <w:rFonts w:ascii="等线(中文正文)" w:hAnsi="等线(中文正文)" w:cs="等线(中文正文)" w:eastAsia="等线(中文正文)"/>
          <w:b w:val="false"/>
          <w:i w:val="false"/>
          <w:sz w:val="20"/>
        </w:rPr>
        <w:t/>
      </w:r>
    </w:p>
    <w:p>
      <w:pPr>
        <w:pStyle w:val="ab"/>
        <w:numPr>
          <w:numId w:val="9"/>
        </w:numPr>
      </w:pPr>
      <w:r>
        <w:t>27:01 企业自勉产品管线与专利到期分析</w:t>
      </w:r>
    </w:p>
    <w:p>
      <w:r>
        <w:rPr>
          <w:rFonts w:ascii="等线(中文正文)" w:hAnsi="等线(中文正文)" w:cs="等线(中文正文)" w:eastAsia="等线(中文正文)"/>
          <w:b w:val="false"/>
          <w:i w:val="false"/>
          <w:sz w:val="20"/>
        </w:rPr>
        <w:t>对话围绕企业自勉产品管线布局展开，包括基石、后期和早研管线的划分，以及专利到期时间的标记，重点分析了企业在特异性皮炎、呼吸系统疾病等领域的接棒管线策略，对赛诺菲、艾博玮等企业可能的管线补充情况进行了预测，强调了专利到期对产品布局的影响及不确定性。</w:t>
      </w:r>
    </w:p>
    <w:p>
      <w:r>
        <w:rPr>
          <w:rFonts w:ascii="等线(中文正文)" w:hAnsi="等线(中文正文)" w:cs="等线(中文正文)" w:eastAsia="等线(中文正文)"/>
          <w:b w:val="false"/>
          <w:i w:val="false"/>
          <w:sz w:val="20"/>
        </w:rPr>
        <w:t/>
      </w:r>
    </w:p>
    <w:p>
      <w:pPr>
        <w:pStyle w:val="ab"/>
        <w:numPr>
          <w:numId w:val="10"/>
        </w:numPr>
      </w:pPr>
      <w:r>
        <w:t>30:35 四大药企后续管线布局分析</w:t>
      </w:r>
    </w:p>
    <w:p>
      <w:r>
        <w:rPr>
          <w:rFonts w:ascii="等线(中文正文)" w:hAnsi="等线(中文正文)" w:cs="等线(中文正文)" w:eastAsia="等线(中文正文)"/>
          <w:b w:val="false"/>
          <w:i w:val="false"/>
          <w:sz w:val="20"/>
        </w:rPr>
        <w:t>对话深入探讨了诺华、罗氏、GSK和AZ四家药企在关键产品管线上的布局策略。诺华因司库奇单抗专利即将到期，需补强管线，可能方向为口服小分子或长效单抗；罗氏奥马珠单抗面临专利到期，需补充后续管线；GSK和AZ呼吸领域产品丰富，接棒管线较为充足。整体分析聚焦于药企如何应对专利到期，通过补强管线维持市场竞争力。</w:t>
      </w:r>
    </w:p>
    <w:p>
      <w:r>
        <w:rPr>
          <w:rFonts w:ascii="等线(中文正文)" w:hAnsi="等线(中文正文)" w:cs="等线(中文正文)" w:eastAsia="等线(中文正文)"/>
          <w:b w:val="false"/>
          <w:i w:val="false"/>
          <w:sz w:val="20"/>
        </w:rPr>
        <w:t/>
      </w:r>
    </w:p>
    <w:p>
      <w:pPr>
        <w:pStyle w:val="ab"/>
        <w:numPr>
          <w:numId w:val="11"/>
        </w:numPr>
      </w:pPr>
      <w:r>
        <w:t>34:28 自勉企业未来展望：UCB与Final Finder的激进布局</w:t>
      </w:r>
    </w:p>
    <w:p>
      <w:r>
        <w:rPr>
          <w:rFonts w:ascii="等线(中文正文)" w:hAnsi="等线(中文正文)" w:cs="等线(中文正文)" w:eastAsia="等线(中文正文)"/>
          <w:b w:val="false"/>
          <w:i w:val="false"/>
          <w:sz w:val="20"/>
        </w:rPr>
        <w:t>讨论了自勉企业未来可能成为行业龙头的潜力，重点提及UCB和Final Finder的激进管线布局，包括UCB在T细胞和B细胞自勉领域的双抗产品，以及Final Finder的白界四白界13TSLP三抗临床进展。同时，回顾了防守领域的重点关注方向，如接力大药后线和银屑病后线的接棒管线，以及罗氏奥马珠单抗后线的市场潜力。</w:t>
      </w:r>
    </w:p>
    <w:p>
      <w:r>
        <w:rPr>
          <w:rFonts w:ascii="等线(中文正文)" w:hAnsi="等线(中文正文)" w:cs="等线(中文正文)" w:eastAsia="等线(中文正文)"/>
          <w:b w:val="false"/>
          <w:i w:val="false"/>
          <w:sz w:val="20"/>
        </w:rPr>
        <w:t/>
      </w:r>
    </w:p>
    <w:p>
      <w:pPr>
        <w:pStyle w:val="ab"/>
        <w:numPr>
          <w:numId w:val="12"/>
        </w:numPr>
      </w:pPr>
      <w:r>
        <w:t>39:18 医药行业进攻维度解析：TH2型通路与IBD市场</w:t>
      </w:r>
    </w:p>
    <w:p>
      <w:r>
        <w:rPr>
          <w:rFonts w:ascii="等线(中文正文)" w:hAnsi="等线(中文正文)" w:cs="等线(中文正文)" w:eastAsia="等线(中文正文)"/>
          <w:b w:val="false"/>
          <w:i w:val="false"/>
          <w:sz w:val="20"/>
        </w:rPr>
        <w:t>对话深入探讨了医药行业进攻的两个关键维度：一是TH2型通路，特别是苹果G的白金13OS forty在特异性皮炎领域的独特地位，以及艾博韦收购苹果G的战略意义；二是IBD市场，尽管现有疗法疗效有限，但因巨大的临床需求，吸引了众多玩家布局下一代共制剂和单抗产品。</w:t>
      </w:r>
    </w:p>
    <w:p>
      <w:r>
        <w:rPr>
          <w:rFonts w:ascii="等线(中文正文)" w:hAnsi="等线(中文正文)" w:cs="等线(中文正文)" w:eastAsia="等线(中文正文)"/>
          <w:b w:val="false"/>
          <w:i w:val="false"/>
          <w:sz w:val="20"/>
        </w:rPr>
        <w:t/>
      </w:r>
    </w:p>
    <w:p>
      <w:pPr>
        <w:pStyle w:val="ab"/>
        <w:numPr>
          <w:numId w:val="13"/>
        </w:numPr>
      </w:pPr>
      <w:r>
        <w:t>41:35 自勉企业进攻策略：B细胞自勉市场分析与布局</w:t>
      </w:r>
    </w:p>
    <w:p>
      <w:r>
        <w:rPr>
          <w:rFonts w:ascii="等线(中文正文)" w:hAnsi="等线(中文正文)" w:cs="等线(中文正文)" w:eastAsia="等线(中文正文)"/>
          <w:b w:val="false"/>
          <w:i w:val="false"/>
          <w:sz w:val="20"/>
        </w:rPr>
        <w:t>讨论了自勉企业在B细胞自勉市场面临的挑战，特别是SLE红斑狼疮治疗效果不佳的问题。提到诺华、罗氏等企业通过TCE和CD20单抗等策略布局市场。强调了深入理解自勉市场竞争格局和MNC布局策略的重要性，以及从买家和卖家维度分析投资机会的价值。最后，提醒投资者注意市场风险，谨慎决策。</w:t>
      </w:r>
    </w:p>
    <w:p>
      <w:r>
        <w:rPr>
          <w:rFonts w:ascii="等线(中文正文)" w:hAnsi="等线(中文正文)" w:cs="等线(中文正文)" w:eastAsia="等线(中文正文)"/>
          <w:b w:val="false"/>
          <w:i w:val="false"/>
          <w:sz w:val="20"/>
        </w:rPr>
        <w:t/>
      </w:r>
    </w:p>
    <w:p>
      <w:pPr>
        <w:pStyle w:val="a7"/>
      </w:pPr>
      <w:r>
        <w:t>发言总结</w:t>
      </w:r>
    </w:p>
    <w:p>
      <w:pPr>
        <w:pStyle w:val="ab"/>
        <w:numPr>
          <w:numId w:val="14"/>
        </w:numPr>
      </w:pPr>
      <w:r>
        <w:t>发言人1</w:t>
      </w:r>
    </w:p>
    <w:p>
      <w:r>
        <w:rPr>
          <w:rFonts w:ascii="等线(中文正文)" w:hAnsi="等线(中文正文)" w:cs="等线(中文正文)" w:eastAsia="等线(中文正文)"/>
          <w:b w:val="false"/>
          <w:i w:val="false"/>
          <w:sz w:val="20"/>
        </w:rPr>
        <w:t>主持的会议聚焦于医药行业，特别是自勉药市场的发展趋势、MNC的战略布局，以及对投资者的建议。会议首先提醒参会者注意电话会议的版权和法律责任，强调内容仅供正式签约客户内部学习，并提醒市场投资风险，倡导谨慎决策。他详细介绍了自勉药市场的未来方向，包括长效化产品、口服药、小核酸和双靶点药物等迭代方向，分析了这些药物对MNC布局的影响及其在不同适应症上的潜力。讨论了MNC如何应对专利悬崖、选择接棒产品和布局下一代药物，特别强调了TH2通路、B细胞自勉和IBD作为未来关注领域。分析了包括艾伯维、强生、赛诺菲、罗氏和诺华在内的MNC的自勉药管线布局和策略，强调了UCB和赛诺菲在自勉药市场上的潜力。他鼓励投资者关注具有明确临床需求和高增长潜力的适应症，并重申了国泰海通证券的谨慎投资建议，承诺提供深入的市场分析和研究。整体而言，他为投资者提供了一个全面的视角，旨在帮助投资者更好地理解行业趋势、公司战略和投资机会。</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问：在MNC布局自免药物的维度上，他们到底会缺哪些药，以及如何进行自免赛道的攻防布局？</w:t>
      </w:r>
    </w:p>
    <w:p>
      <w:r>
        <w:rPr>
          <w:rFonts w:ascii="等线(中文正文)" w:hAnsi="等线(中文正文)" w:cs="等线(中文正文)" w:eastAsia="等线(中文正文)"/>
          <w:b w:val="false"/>
          <w:i w:val="false"/>
          <w:sz w:val="20"/>
        </w:rPr>
        <w:t>发言人1 答：MNC在自免赛道上的布局策略主要包括锁住基本盘和创造增量盘。基本盘是指守住25年全球约1500亿美金的市场规模，重点关注大药专利在28到31年陆续到期后，MNC选择什么样的产品接棒以维持市场份额。增量盘则是针对现有疗效一般或无药可治的市场，如COPD、IBD、红斑狼疮、重症肌无力和进展型多发性硬化症等，如果下一代迭代产品能创造更好的疗效，有望在单适应症上创造百亿美金的空间。</w:t>
      </w:r>
    </w:p>
    <w:p>
      <w:r>
        <w:rPr>
          <w:rFonts w:ascii="等线(中文正文)" w:hAnsi="等线(中文正文)" w:cs="等线(中文正文)" w:eastAsia="等线(中文正文)"/>
          <w:b w:val="false"/>
          <w:i w:val="false"/>
          <w:sz w:val="20"/>
        </w:rPr>
        <w:t/>
      </w:r>
    </w:p>
    <w:p>
      <w:pPr>
        <w:pStyle w:val="ab"/>
      </w:pPr>
      <w:r>
        <w:t>发言人1 问：全球自免市场中，各个适应症的具体规模是多少？</w:t>
      </w:r>
    </w:p>
    <w:p>
      <w:r>
        <w:rPr>
          <w:rFonts w:ascii="等线(中文正文)" w:hAnsi="等线(中文正文)" w:cs="等线(中文正文)" w:eastAsia="等线(中文正文)"/>
          <w:b w:val="false"/>
          <w:i w:val="false"/>
          <w:sz w:val="20"/>
        </w:rPr>
        <w:t>发言人1 答：全球自免市场中，T细胞自免市场约为1200亿美金，其中风湿免疫疾病领域约为200亿美金，皮肤类疾病（银屑病和特异性皮炎）合计约450亿美金，呼吸类疾病（COPD和哮喘）约为250亿美金，消化道疾病（以单抗适应症为主）约为300亿美金。B细胞自免市场约为300亿美金，主要集中在多发性硬化（150亿美金）、重症肌无力（约50亿美金）和SLE（30亿美金）三个适应症。</w:t>
      </w:r>
    </w:p>
    <w:p>
      <w:r>
        <w:rPr>
          <w:rFonts w:ascii="等线(中文正文)" w:hAnsi="等线(中文正文)" w:cs="等线(中文正文)" w:eastAsia="等线(中文正文)"/>
          <w:b w:val="false"/>
          <w:i w:val="false"/>
          <w:sz w:val="20"/>
        </w:rPr>
        <w:t/>
      </w:r>
    </w:p>
    <w:p>
      <w:pPr>
        <w:pStyle w:val="ab"/>
      </w:pPr>
      <w:r>
        <w:t>发言人1 问：MNC在自免领域的布局有哪些重点方向？</w:t>
      </w:r>
    </w:p>
    <w:p>
      <w:r>
        <w:rPr>
          <w:rFonts w:ascii="等线(中文正文)" w:hAnsi="等线(中文正文)" w:cs="等线(中文正文)" w:eastAsia="等线(中文正文)"/>
          <w:b w:val="false"/>
          <w:i w:val="false"/>
          <w:sz w:val="20"/>
        </w:rPr>
        <w:t>发言人1 答：MNC在自免领域的布局主要包括TH17通路，以白介素23P19和白介素12P40为代表的药物，如苹果公司的产品和强生公司的产品，主要针对银屑病和IBD；TH2通路，以杜普利尤单抗为代表的药物，散诺费是该领域的唯一大玩家；B细胞通路，诺华和罗氏是主要竞争对手，它们在B细胞免疫通路中均有开发CD20单抗，用于治疗多发性硬化症。</w:t>
      </w:r>
    </w:p>
    <w:p>
      <w:r>
        <w:rPr>
          <w:rFonts w:ascii="等线(中文正文)" w:hAnsi="等线(中文正文)" w:cs="等线(中文正文)" w:eastAsia="等线(中文正文)"/>
          <w:b w:val="false"/>
          <w:i w:val="false"/>
          <w:sz w:val="20"/>
        </w:rPr>
        <w:t/>
      </w:r>
    </w:p>
    <w:p>
      <w:pPr>
        <w:pStyle w:val="ab"/>
      </w:pPr>
      <w:r>
        <w:t>发言人1 问：在自免赛道中，有哪些企业是头部玩家？</w:t>
      </w:r>
    </w:p>
    <w:p>
      <w:r>
        <w:rPr>
          <w:rFonts w:ascii="等线(中文正文)" w:hAnsi="等线(中文正文)" w:cs="等线(中文正文)" w:eastAsia="等线(中文正文)"/>
          <w:b w:val="false"/>
          <w:i w:val="false"/>
          <w:sz w:val="20"/>
        </w:rPr>
        <w:t>发言人1 答：自免赛道的七个最头部玩家包括GSK、阿斯利康AZ、以及七家拥有生物制剂和抑制剂产品的公司。其他一些有产品布局但未形成较大体量和产品矩阵的企业被归为其他类。</w:t>
      </w:r>
    </w:p>
    <w:p>
      <w:r>
        <w:rPr>
          <w:rFonts w:ascii="等线(中文正文)" w:hAnsi="等线(中文正文)" w:cs="等线(中文正文)" w:eastAsia="等线(中文正文)"/>
          <w:b w:val="false"/>
          <w:i w:val="false"/>
          <w:sz w:val="20"/>
        </w:rPr>
        <w:t/>
      </w:r>
    </w:p>
    <w:p>
      <w:pPr>
        <w:pStyle w:val="ab"/>
      </w:pPr>
      <w:r>
        <w:t>发言人1 问：abv在自免领域的下一代产品布局重点是什么？GSK在下一代产品的选择上有哪些策略？</w:t>
      </w:r>
    </w:p>
    <w:p>
      <w:r>
        <w:rPr>
          <w:rFonts w:ascii="等线(中文正文)" w:hAnsi="等线(中文正文)" w:cs="等线(中文正文)" w:eastAsia="等线(中文正文)"/>
          <w:b w:val="false"/>
          <w:i w:val="false"/>
          <w:sz w:val="20"/>
        </w:rPr>
        <w:t>发言人1 答：abv在自免领域的下一代产品布局主要围绕“长效”和“双打”两个关键字展开。在防守方面，针对IBD领域，abv启动了大规模二期临床试验，探索力生吸毒单抗与阿尔法斯贝塔七和TLYA单抗的联用，以提升疗效。进攻方面，abv通过收购apple器获得了长效化的白界十三单抗、两款共制剂，这将使他们在下一代PM赛道上能够与赛诺菲展开竞争。GSK同样选择了口服加共制剂作为下一代产品的重点方向。口服方面，GSK的口服二三白介环肽预期将成为公司历史上销售最好的产品，有望达到100亿美金的规模并正在快速放量。共制剂方面，GSK开发了一款新的复方产品，将白金二三P19的古古菜汽油单抗与老产品TNF阿尔法单抗结合，该管线已启动三期临床试验针对IBD，并且早期临床效果表现优异，与单一组分相比疗效更优。</w:t>
      </w:r>
    </w:p>
    <w:p>
      <w:r>
        <w:rPr>
          <w:rFonts w:ascii="等线(中文正文)" w:hAnsi="等线(中文正文)" w:cs="等线(中文正文)" w:eastAsia="等线(中文正文)"/>
          <w:b w:val="false"/>
          <w:i w:val="false"/>
          <w:sz w:val="20"/>
        </w:rPr>
        <w:t/>
      </w:r>
    </w:p>
    <w:p>
      <w:pPr>
        <w:pStyle w:val="ab"/>
      </w:pPr>
      <w:r>
        <w:t>发言人1 问：GSK目前面临的业务挑战是什么？</w:t>
      </w:r>
    </w:p>
    <w:p>
      <w:r>
        <w:rPr>
          <w:rFonts w:ascii="等线(中文正文)" w:hAnsi="等线(中文正文)" w:cs="等线(中文正文)" w:eastAsia="等线(中文正文)"/>
          <w:b w:val="false"/>
          <w:i w:val="false"/>
          <w:sz w:val="20"/>
        </w:rPr>
        <w:t>发言人1 答：GSK当前正面临专利悬崖的风险，其明星产品乌斯姆单抗销售下滑明显，从2024年的100亿美金快速降至2025年的60亿美金，今年上半年更是只有14亿美金，同比下滑60%。不过，GSK的股债汽油单抗和新获批的口服环肽银屑病药物正在快速蓄力，接棒弥补乌斯鲁丹单抗下滑带来的缺口，但整体免疫学板块仍面临较大压力。</w:t>
      </w:r>
    </w:p>
    <w:p>
      <w:r>
        <w:rPr>
          <w:rFonts w:ascii="等线(中文正文)" w:hAnsi="等线(中文正文)" w:cs="等线(中文正文)" w:eastAsia="等线(中文正文)"/>
          <w:b w:val="false"/>
          <w:i w:val="false"/>
          <w:sz w:val="20"/>
        </w:rPr>
        <w:t/>
      </w:r>
    </w:p>
    <w:p>
      <w:pPr>
        <w:pStyle w:val="ab"/>
      </w:pPr>
      <w:r>
        <w:t>发言人1 问：GNG这家公司的基本盘和下一代产品布局情况如何？</w:t>
      </w:r>
    </w:p>
    <w:p>
      <w:r>
        <w:rPr>
          <w:rFonts w:ascii="等线(中文正文)" w:hAnsi="等线(中文正文)" w:cs="等线(中文正文)" w:eastAsia="等线(中文正文)"/>
          <w:b w:val="false"/>
          <w:i w:val="false"/>
          <w:sz w:val="20"/>
        </w:rPr>
        <w:t>发言人1 答：GNG的基本盘稳健，下一代产品布局方面没有详细说明，但强调了其核心竞争力。</w:t>
      </w:r>
    </w:p>
    <w:p>
      <w:r>
        <w:rPr>
          <w:rFonts w:ascii="等线(中文正文)" w:hAnsi="等线(中文正文)" w:cs="等线(中文正文)" w:eastAsia="等线(中文正文)"/>
          <w:b w:val="false"/>
          <w:i w:val="false"/>
          <w:sz w:val="20"/>
        </w:rPr>
        <w:t/>
      </w:r>
    </w:p>
    <w:p>
      <w:pPr>
        <w:pStyle w:val="ab"/>
      </w:pPr>
      <w:r>
        <w:t>发言人1 问：赛诺菲的情况如何，有哪些挑战？</w:t>
      </w:r>
    </w:p>
    <w:p>
      <w:r>
        <w:rPr>
          <w:rFonts w:ascii="等线(中文正文)" w:hAnsi="等线(中文正文)" w:cs="等线(中文正文)" w:eastAsia="等线(中文正文)"/>
          <w:b w:val="false"/>
          <w:i w:val="false"/>
          <w:sz w:val="20"/>
        </w:rPr>
        <w:t>发言人1 答：赛诺菲的情况可以用“焦头烂额”来形容。尽管dupine单抗放量迅速，但后期管线全面受挫，多个潜在接棒产品如针对慢性苔藓的dupine、接棒潜力的OX four单抗以及白界33单抗等均停止开发。这导致赛诺菲面临专利到期后的营收缺口增大这一重大风险，因此今年中报时重点关注其战略调整，包括高管层的大换血、BD和收并购战略转向更大规模交易后期资产乃至商业化资产，以及区域战略调整，尤其是计划重点扩大中国的布局。</w:t>
      </w:r>
    </w:p>
    <w:p>
      <w:r>
        <w:rPr>
          <w:rFonts w:ascii="等线(中文正文)" w:hAnsi="等线(中文正文)" w:cs="等线(中文正文)" w:eastAsia="等线(中文正文)"/>
          <w:b w:val="false"/>
          <w:i w:val="false"/>
          <w:sz w:val="20"/>
        </w:rPr>
        <w:t/>
      </w:r>
    </w:p>
    <w:p>
      <w:pPr>
        <w:pStyle w:val="ab"/>
      </w:pPr>
      <w:r>
        <w:t>发言人1 问：对于罗氏和诺华这两家公司的业务特点及管线情况能否概述？</w:t>
      </w:r>
    </w:p>
    <w:p>
      <w:r>
        <w:rPr>
          <w:rFonts w:ascii="等线(中文正文)" w:hAnsi="等线(中文正文)" w:cs="等线(中文正文)" w:eastAsia="等线(中文正文)"/>
          <w:b w:val="false"/>
          <w:i w:val="false"/>
          <w:sz w:val="20"/>
        </w:rPr>
        <w:t>发言人1 答：罗氏和诺华作为B细胞自免领域的龙头，业务结构相似。其中，罗氏的主要产品包括奥马珠单抗和奥瑞利珠单抗，分别用于治疗荨麻疹、哮喘、过敏和多发性硬化。奥马珠单抗面临较大的专利悬崖风险，而罗氏通过BTK抑制剂进行接棒策略；奥瑞利珠单抗则有口服BTK抑制剂瑞米布替尼作为接棒候选。诺华方面，其主力产品为银屑病领域的斯库奇尤单抗和海外已专利到期的奥马单抗，诺华采取口服BTK抑制剂氯米布替尼和新收购的长效IG单抗布局来接替奥马珠单抗的市场份额，并且同样在多发性硬化领域用BTK抑制剂瑞米布替尼进行接棒尝试，下半年RMS复发缓解型多发性硬化的数据读出将决定其在该领域的竞争地位。</w:t>
      </w:r>
    </w:p>
    <w:p>
      <w:r>
        <w:rPr>
          <w:rFonts w:ascii="等线(中文正文)" w:hAnsi="等线(中文正文)" w:cs="等线(中文正文)" w:eastAsia="等线(中文正文)"/>
          <w:b w:val="false"/>
          <w:i w:val="false"/>
          <w:sz w:val="20"/>
        </w:rPr>
        <w:t/>
      </w:r>
    </w:p>
    <w:p>
      <w:pPr>
        <w:pStyle w:val="ab"/>
      </w:pPr>
      <w:r>
        <w:t>发言人1 问：GSK和阿斯利康在面对通用呼吸产品面临的仿制药竞争时，它们的策略有何不同？</w:t>
      </w:r>
    </w:p>
    <w:p>
      <w:r>
        <w:rPr>
          <w:rFonts w:ascii="等线(中文正文)" w:hAnsi="等线(中文正文)" w:cs="等线(中文正文)" w:eastAsia="等线(中文正文)"/>
          <w:b w:val="false"/>
          <w:i w:val="false"/>
          <w:sz w:val="20"/>
        </w:rPr>
        <w:t>发言人1 答：GSK在下一代呼吸产品布局上的核心策略是长效化。例如，GSK与恒瑞医药合作开发的长效TSOP单抗，该管线潜力巨大，预计将在今年下半年启动多个三期临床试验，并且研发时间比预期提前了九个多月。此外，GSK还布局了长效白T33单抗和长效白T5单抗。相比之下，阿斯利康则采取了更为灵活的策略，没有专注于布局长效产品，而是在生物制剂领域取得突破，如全球进度最快的白键33单抗，已达到三期临床终点，且无需患者筛选，市场覆盖更广，预期销售峰值有望超过50亿美金。同时，阿斯利康也在吸入制剂赛道进行了丰富布局，包括与安进合作的TSLP吸入制剂以及与中国生物制药签订合作获得的1177 PD-3/4抑制剂。</w:t>
      </w:r>
    </w:p>
    <w:p>
      <w:r>
        <w:rPr>
          <w:rFonts w:ascii="等线(中文正文)" w:hAnsi="等线(中文正文)" w:cs="等线(中文正文)" w:eastAsia="等线(中文正文)"/>
          <w:b w:val="false"/>
          <w:i w:val="false"/>
          <w:sz w:val="20"/>
        </w:rPr>
        <w:t/>
      </w:r>
    </w:p>
    <w:p>
      <w:pPr>
        <w:pStyle w:val="ab"/>
      </w:pPr>
      <w:r>
        <w:t>发言人1 问：您如何评价这两家公司在自免管线上的布局情况？</w:t>
      </w:r>
    </w:p>
    <w:p>
      <w:r>
        <w:rPr>
          <w:rFonts w:ascii="等线(中文正文)" w:hAnsi="等线(中文正文)" w:cs="等线(中文正文)" w:eastAsia="等线(中文正文)"/>
          <w:b w:val="false"/>
          <w:i w:val="false"/>
          <w:sz w:val="20"/>
        </w:rPr>
        <w:t>发言人1 答：我制作了一张图表，将每家企业的自免管线分为基石管线（已上市且销售较大的产品）、后期管线（二期、三期临床及刚上市的产品）和早研管线（早期研发阶段的产品），并标注了专利到期时间。通过这张图表，可以清楚地看到每家企业在自免领域的投入布局以及潜在的产品补充可能。对于确定性较高的接棒管线，我用感叹号标识，比如赛诺菲在特异性皮炎和呼吸方向的接棒管线，由于现有产品的后续没有合适的产品接棒，我们认为至少有2到3个管线可能会被用来补充这一空白。而对于像赛诺菲这样BD活动强烈的企业，我们打了感叹号，表示其很可能进行相关产品的引进或开发以填补市场空缺。</w:t>
      </w:r>
    </w:p>
    <w:p>
      <w:r>
        <w:rPr>
          <w:rFonts w:ascii="等线(中文正文)" w:hAnsi="等线(中文正文)" w:cs="等线(中文正文)" w:eastAsia="等线(中文正文)"/>
          <w:b w:val="false"/>
          <w:i w:val="false"/>
          <w:sz w:val="20"/>
        </w:rPr>
        <w:t/>
      </w:r>
    </w:p>
    <w:p>
      <w:pPr>
        <w:pStyle w:val="ab"/>
      </w:pPr>
      <w:r>
        <w:t>发言人1 问：在IBD领域，艾博玮选择共制剂后，是否会接棒银屑病管线？</w:t>
      </w:r>
    </w:p>
    <w:p>
      <w:r>
        <w:rPr>
          <w:rFonts w:ascii="等线(中文正文)" w:hAnsi="等线(中文正文)" w:cs="等线(中文正文)" w:eastAsia="等线(中文正文)"/>
          <w:b w:val="false"/>
          <w:i w:val="false"/>
          <w:sz w:val="20"/>
        </w:rPr>
        <w:t>发言人1 答：对于艾博玮是否会补一个相对而言偏后期的银屑病管线，我们觉得不确定。主要还是要看他口服环肽的态度，是否要自己推到后期临床阶段。</w:t>
      </w:r>
    </w:p>
    <w:p>
      <w:r>
        <w:rPr>
          <w:rFonts w:ascii="等线(中文正文)" w:hAnsi="等线(中文正文)" w:cs="等线(中文正文)" w:eastAsia="等线(中文正文)"/>
          <w:b w:val="false"/>
          <w:i w:val="false"/>
          <w:sz w:val="20"/>
        </w:rPr>
        <w:t/>
      </w:r>
    </w:p>
    <w:p>
      <w:pPr>
        <w:pStyle w:val="ab"/>
      </w:pPr>
      <w:r>
        <w:t>发言人1 问：诺华、罗氏、GSK和AZ这四家企业的基本情况及补管线的可能性如何？</w:t>
      </w:r>
    </w:p>
    <w:p>
      <w:r>
        <w:rPr>
          <w:rFonts w:ascii="等线(中文正文)" w:hAnsi="等线(中文正文)" w:cs="等线(中文正文)" w:eastAsia="等线(中文正文)"/>
          <w:b w:val="false"/>
          <w:i w:val="false"/>
          <w:sz w:val="20"/>
        </w:rPr>
        <w:t>发言人1 答：诺华由于专利到期且后线没有布局，可能会补一个产品，尤其是口服小分子如tik two抑制剂或长效单抗/双抗等方向。罗氏确定性会补奥马珠单抗的后线市场。GSK和AZ因为已有丰富产品线，后线接棒管线相对丰富，接棒可能性不高。</w:t>
      </w:r>
    </w:p>
    <w:p>
      <w:r>
        <w:rPr>
          <w:rFonts w:ascii="等线(中文正文)" w:hAnsi="等线(中文正文)" w:cs="等线(中文正文)" w:eastAsia="等线(中文正文)"/>
          <w:b w:val="false"/>
          <w:i w:val="false"/>
          <w:sz w:val="20"/>
        </w:rPr>
        <w:t/>
      </w:r>
    </w:p>
    <w:p>
      <w:pPr>
        <w:pStyle w:val="ab"/>
      </w:pPr>
      <w:r>
        <w:t>发言人1 问：罗氏是否会补风湿免疫领域的管线？</w:t>
      </w:r>
    </w:p>
    <w:p>
      <w:r>
        <w:rPr>
          <w:rFonts w:ascii="等线(中文正文)" w:hAnsi="等线(中文正文)" w:cs="等线(中文正文)" w:eastAsia="等线(中文正文)"/>
          <w:b w:val="false"/>
          <w:i w:val="false"/>
          <w:sz w:val="20"/>
        </w:rPr>
        <w:t>发言人1 答：罗氏突出单抗后线虽有补全的可能性，但整体风湿免疫布局热情不高。而奥马珠单抗后线确定性较大，因为其市场巨大且专利到期无法避免生物类似物上市，因此罗氏可能会上一个奥马珠单抗的后续管线。</w:t>
      </w:r>
    </w:p>
    <w:p>
      <w:r>
        <w:rPr>
          <w:rFonts w:ascii="等线(中文正文)" w:hAnsi="等线(中文正文)" w:cs="等线(中文正文)" w:eastAsia="等线(中文正文)"/>
          <w:b w:val="false"/>
          <w:i w:val="false"/>
          <w:sz w:val="20"/>
        </w:rPr>
        <w:t/>
      </w:r>
    </w:p>
    <w:p>
      <w:pPr>
        <w:pStyle w:val="ab"/>
      </w:pPr>
      <w:r>
        <w:t>发言人1 问：对于自免业务未来有潜力成为大企业的进攻方有哪些？</w:t>
      </w:r>
    </w:p>
    <w:p>
      <w:r>
        <w:rPr>
          <w:rFonts w:ascii="等线(中文正文)" w:hAnsi="等线(中文正文)" w:cs="等线(中文正文)" w:eastAsia="等线(中文正文)"/>
          <w:b w:val="false"/>
          <w:i w:val="false"/>
          <w:sz w:val="20"/>
        </w:rPr>
        <w:t>发言人1 答：我们看好ucp和辉瑞，其中UCP的优势在于其比基利珠单抗效果更好，尤其在银屑病领域的表现突出，有望成为下一个自免领域的领军企业。同时提到了angy和lily作为可能的进攻企业，但由于他们在银屑病领域的布局有限，核心营收来源不明确，因此对其是否会被拿下持不确定态度。</w:t>
      </w:r>
    </w:p>
    <w:p>
      <w:r>
        <w:rPr>
          <w:rFonts w:ascii="等线(中文正文)" w:hAnsi="等线(中文正文)" w:cs="等线(中文正文)" w:eastAsia="等线(中文正文)"/>
          <w:b w:val="false"/>
          <w:i w:val="false"/>
          <w:sz w:val="20"/>
        </w:rPr>
        <w:t/>
      </w:r>
    </w:p>
    <w:p>
      <w:pPr>
        <w:pStyle w:val="ab"/>
      </w:pPr>
      <w:r>
        <w:t>发言人1 问：UCB在自免管线上的布局有哪些重点？</w:t>
      </w:r>
    </w:p>
    <w:p>
      <w:r>
        <w:rPr>
          <w:rFonts w:ascii="等线(中文正文)" w:hAnsi="等线(中文正文)" w:cs="等线(中文正文)" w:eastAsia="等线(中文正文)"/>
          <w:b w:val="false"/>
          <w:i w:val="false"/>
          <w:sz w:val="20"/>
        </w:rPr>
        <w:t>发言人1 答：UCB在自免领域布局了一系列产品，包括针对T细胞自免的双抗产品以及在B细胞自免方面的积极布局。今年年初与德奇合作开发CD3序列的TCE产品，并于5月2日收购了海外biotech公司candied，获得了其一系列产品，其中核心产品源自中国爱脉生物和一层嘉禾。这些布局显示UCB有可能成为下一个大型自免MNC企业。</w:t>
      </w:r>
    </w:p>
    <w:p>
      <w:r>
        <w:rPr>
          <w:rFonts w:ascii="等线(中文正文)" w:hAnsi="等线(中文正文)" w:cs="等线(中文正文)" w:eastAsia="等线(中文正文)"/>
          <w:b w:val="false"/>
          <w:i w:val="false"/>
          <w:sz w:val="20"/>
        </w:rPr>
        <w:t/>
      </w:r>
    </w:p>
    <w:p>
      <w:pPr>
        <w:pStyle w:val="ab"/>
      </w:pPr>
      <w:r>
        <w:t>发言人1 问：Final Finder在自免管线上的策略如何？</w:t>
      </w:r>
    </w:p>
    <w:p>
      <w:r>
        <w:rPr>
          <w:rFonts w:ascii="等线(中文正文)" w:hAnsi="等线(中文正文)" w:cs="等线(中文正文)" w:eastAsia="等线(中文正文)"/>
          <w:b w:val="false"/>
          <w:i w:val="false"/>
          <w:sz w:val="20"/>
        </w:rPr>
        <w:t>发言人1 答：Final Finder在今年中报时表现出积极进取的态度，计划开展四个三期临床试验，包括针对特异性皮炎的白界四白界13TSLP三抗。该产品已读出早期临床数据，16周的IC75约为52%，显示出相较于安慰剂组约15到20个点的疗效提升。因此，Final Finder和UCB在下一代管线中表现得较为激进。</w:t>
      </w:r>
    </w:p>
    <w:p>
      <w:r>
        <w:rPr>
          <w:rFonts w:ascii="等线(中文正文)" w:hAnsi="等线(中文正文)" w:cs="等线(中文正文)" w:eastAsia="等线(中文正文)"/>
          <w:b w:val="false"/>
          <w:i w:val="false"/>
          <w:sz w:val="20"/>
        </w:rPr>
        <w:t/>
      </w:r>
    </w:p>
    <w:p>
      <w:pPr>
        <w:pStyle w:val="ab"/>
      </w:pPr>
      <w:r>
        <w:t>发言人1 问：哪些领域和适应症是值得关注的防守方向？</w:t>
      </w:r>
    </w:p>
    <w:p>
      <w:r>
        <w:rPr>
          <w:rFonts w:ascii="等线(中文正文)" w:hAnsi="等线(中文正文)" w:cs="等线(中文正文)" w:eastAsia="等线(中文正文)"/>
          <w:b w:val="false"/>
          <w:i w:val="false"/>
          <w:sz w:val="20"/>
        </w:rPr>
        <w:t>发言人1 答：防守方向主要包括接力大药企后线产品，例如Sanoh Dumpy的后线、银屑病领域的后线（如诺华的四库汽油接棒管线、安静和丽丽的两款银屑病接棒管线以及立身起初的接棒管线）。此外，罗氏的奥马珠单抗后线也是一个值得关注的防守领域，因其市场规模较大，未来有可能成为热门BD对象。</w:t>
      </w:r>
    </w:p>
    <w:p>
      <w:r>
        <w:rPr>
          <w:rFonts w:ascii="等线(中文正文)" w:hAnsi="等线(中文正文)" w:cs="等线(中文正文)" w:eastAsia="等线(中文正文)"/>
          <w:b w:val="false"/>
          <w:i w:val="false"/>
          <w:sz w:val="20"/>
        </w:rPr>
        <w:t/>
      </w:r>
    </w:p>
    <w:p>
      <w:pPr>
        <w:pStyle w:val="ab"/>
      </w:pPr>
      <w:r>
        <w:t>发言人1 问：在进攻维度上，哪些适应症是MNC乐于布局的？</w:t>
      </w:r>
    </w:p>
    <w:p>
      <w:r>
        <w:rPr>
          <w:rFonts w:ascii="等线(中文正文)" w:hAnsi="等线(中文正文)" w:cs="等线(中文正文)" w:eastAsia="等线(中文正文)"/>
          <w:b w:val="false"/>
          <w:i w:val="false"/>
          <w:sz w:val="20"/>
        </w:rPr>
        <w:t>发言人1 答：进攻维度主要包括TH2型通路相关适应症，如UCB和艾博韦通过双抗和3抗模式聚焦此领域；IBD（炎症性肠病）也是一个重点进攻方向，现有疗法效果一般，市场仍存在明显未被满足的临床需求，众多玩家都在布局下一代共治剂；另外，B细胞自免疾病也是进攻方向之一，如UCB和JSK等公司布局了一系列TCE和CD20单抗或小核酸类药物来解决这个难治性市场。</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2026-08-21T01:20:46Z</dcterms:created>
  <dc:creator>Apache POI</dc:creator>
</cp:coreProperties>
</file>