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非银行业深度 260820_导读</w:t>
      </w:r>
    </w:p>
    <w:p>
      <w:pPr>
        <w:pStyle w:val="a0"/>
        <w:jc w:val="center"/>
      </w:pPr>
      <w:r>
        <w:t>2026年08月21日 09:15</w:t>
      </w:r>
    </w:p>
    <w:p>
      <w:pPr>
        <w:pStyle w:val="a7"/>
      </w:pPr>
      <w:r>
        <w:t>关键词</w:t>
      </w:r>
    </w:p>
    <w:p>
      <w:r>
        <w:rPr>
          <w:rFonts w:ascii="等线(中文正文)" w:hAnsi="等线(中文正文)" w:cs="等线(中文正文)" w:eastAsia="等线(中文正文)"/>
          <w:b w:val="false"/>
          <w:i w:val="false"/>
          <w:sz w:val="20"/>
        </w:rPr>
        <w:t xml:space="preserve">分红险 预定利率 保险产品 传统险 万能险 投连险 分红实现率 浮动收益 非对称下调 现金分红 保额分红 收入平滑 刚兑属性 权益市场 银行理财 储蓄类险种 收益率 流动性 监管 佣金率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保险分析师对保险行业进行了全面剖析，着重探讨了分红险在存款搬家趋势下的变革。首先，介绍了人寿保险、年金保险、健康险和意外险等保险产品的特性。随后深入分析了分红险、万能险和投连险等新型保险产品的特点与风险等级，指出新型分红险的风险水平提升。讨论了中国寿险行业预定利率的变化趋势及其对消费者偏好和产品销售的影响。阐述了分红险的计算机制、客户收益率和分红实现率，强调分红险在利率下行周期中的吸引力。同时，比较了分红险与其他理财产品的优劣，包括银行理财产品和指数基金，并讨论了保险销售渠道的变革，如银保渠道和代理人渠道的发展。最后，预测分红险未来的发展趋势，认为固定收益产品将持续受青睐，并可能成为健康险市场的新风口。</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存款搬家背景下分红险变革探讨</w:t>
      </w:r>
    </w:p>
    <w:p>
      <w:r>
        <w:rPr>
          <w:rFonts w:ascii="等线(中文正文)" w:hAnsi="等线(中文正文)" w:cs="等线(中文正文)" w:eastAsia="等线(中文正文)"/>
          <w:b w:val="false"/>
          <w:i w:val="false"/>
          <w:sz w:val="20"/>
        </w:rPr>
        <w:t>报告首先介绍了保险行业的产品分类，包括按保障标的和产品形态的划分。随后，重点讨论了在存款搬家背景下，分红险作为新型保险产品之一，其变革趋势及风险等级提升的特性，为保险行业的发展提供了新的视角。</w:t>
      </w:r>
    </w:p>
    <w:p>
      <w:r>
        <w:rPr>
          <w:rFonts w:ascii="等线(中文正文)" w:hAnsi="等线(中文正文)" w:cs="等线(中文正文)" w:eastAsia="等线(中文正文)"/>
          <w:b w:val="false"/>
          <w:i w:val="false"/>
          <w:sz w:val="20"/>
        </w:rPr>
        <w:t/>
      </w:r>
    </w:p>
    <w:p>
      <w:pPr>
        <w:pStyle w:val="ab"/>
        <w:numPr>
          <w:numId w:val="2"/>
        </w:numPr>
      </w:pPr>
      <w:r>
        <w:t>02:00 寿险行业预定利率调整与分红险变革</w:t>
      </w:r>
    </w:p>
    <w:p>
      <w:r>
        <w:rPr>
          <w:rFonts w:ascii="等线(中文正文)" w:hAnsi="等线(中文正文)" w:cs="等线(中文正文)" w:eastAsia="等线(中文正文)"/>
          <w:b w:val="false"/>
          <w:i w:val="false"/>
          <w:sz w:val="20"/>
        </w:rPr>
        <w:t>对话讨论了寿险行业从2013年至2024年间预定利率的调整历程，以及由此引发的市场变化，特别是储蓄险与消费型产品的发展趋势。2023年开始的预定利率下调周期促使了炒停售潮，2024年进一步调整至2.0，去年则实施非对称下调，传统险与分红险分别降至2.0与1.75，导致客户需求显著转向分红险，体现了分红险变革的核心。</w:t>
      </w:r>
    </w:p>
    <w:p>
      <w:r>
        <w:rPr>
          <w:rFonts w:ascii="等线(中文正文)" w:hAnsi="等线(中文正文)" w:cs="等线(中文正文)" w:eastAsia="等线(中文正文)"/>
          <w:b w:val="false"/>
          <w:i w:val="false"/>
          <w:sz w:val="20"/>
        </w:rPr>
        <w:t/>
      </w:r>
    </w:p>
    <w:p>
      <w:pPr>
        <w:pStyle w:val="ab"/>
        <w:numPr>
          <w:numId w:val="3"/>
        </w:numPr>
      </w:pPr>
      <w:r>
        <w:t>06:22 分红险收益计算与分红实现率分析</w:t>
      </w:r>
    </w:p>
    <w:p>
      <w:r>
        <w:rPr>
          <w:rFonts w:ascii="等线(中文正文)" w:hAnsi="等线(中文正文)" w:cs="等线(中文正文)" w:eastAsia="等线(中文正文)"/>
          <w:b w:val="false"/>
          <w:i w:val="false"/>
          <w:sz w:val="20"/>
        </w:rPr>
        <w:t>分红险收益由固定和浮动两部分组成，浮动部分依据超额收益和分红比例计算，分红实现率受产品设计影响，不同期间产品不具备可比性。分红险兼具保障和投资属性，分红形式包括现金分红和保额分红，存在收入平滑机制，监管要求盈利超过准备金15%时强制释放分红，以防道德风险。</w:t>
      </w:r>
    </w:p>
    <w:p>
      <w:r>
        <w:rPr>
          <w:rFonts w:ascii="等线(中文正文)" w:hAnsi="等线(中文正文)" w:cs="等线(中文正文)" w:eastAsia="等线(中文正文)"/>
          <w:b w:val="false"/>
          <w:i w:val="false"/>
          <w:sz w:val="20"/>
        </w:rPr>
        <w:t/>
      </w:r>
    </w:p>
    <w:p>
      <w:pPr>
        <w:pStyle w:val="ab"/>
        <w:numPr>
          <w:numId w:val="4"/>
        </w:numPr>
      </w:pPr>
      <w:r>
        <w:t>11:32 分红险的产品特性与市场竞争力分析</w:t>
      </w:r>
    </w:p>
    <w:p>
      <w:r>
        <w:rPr>
          <w:rFonts w:ascii="等线(中文正文)" w:hAnsi="等线(中文正文)" w:cs="等线(中文正文)" w:eastAsia="等线(中文正文)"/>
          <w:b w:val="false"/>
          <w:i w:val="false"/>
          <w:sz w:val="20"/>
        </w:rPr>
        <w:t>分红险作为保险产品的一种，其利润分配机制要求至少70%的利润分配给保单持有人，体现了风险共担的原则。从公司视角看，分红险有助于降低报表的短期波动，优化资产匹配压力。产品形式上，年金险和两全险是主要类型，未来可能发展出长期健康险。在利率市场化改革背景下，分红险的竞争力在于兼顾保底收益与看涨期权，且随着预定利率的下调，其选择性进一步提升。供给端，保险公司对分红险的供给积极，该产品能贡献更多保费收入，提升公司报表表现。</w:t>
      </w:r>
    </w:p>
    <w:p>
      <w:r>
        <w:rPr>
          <w:rFonts w:ascii="等线(中文正文)" w:hAnsi="等线(中文正文)" w:cs="等线(中文正文)" w:eastAsia="等线(中文正文)"/>
          <w:b w:val="false"/>
          <w:i w:val="false"/>
          <w:sz w:val="20"/>
        </w:rPr>
        <w:t/>
      </w:r>
    </w:p>
    <w:p>
      <w:pPr>
        <w:pStyle w:val="ab"/>
        <w:numPr>
          <w:numId w:val="5"/>
        </w:numPr>
      </w:pPr>
      <w:r>
        <w:t>15:54 分红险与银行理财、指数基金的对比分析</w:t>
      </w:r>
    </w:p>
    <w:p>
      <w:r>
        <w:rPr>
          <w:rFonts w:ascii="等线(中文正文)" w:hAnsi="等线(中文正文)" w:cs="等线(中文正文)" w:eastAsia="等线(中文正文)"/>
          <w:b w:val="false"/>
          <w:i w:val="false"/>
          <w:sz w:val="20"/>
        </w:rPr>
        <w:t>对话深入探讨了分红险相较于银行理财和指数基金的优势与局限，重点在于分红险依托权益市场表现活跃，收益率较高，且提供刚兑保障，但流动性较差。同时，监管对分红险收益率的限高指导旨在确保长期经营的稳定性和信任，避免过高的演示收益率引发信任危机。与指数基金对比，分红险虽缺乏灵活性，但波动小，具备一定的股息率吸引力。</w:t>
      </w:r>
    </w:p>
    <w:p>
      <w:r>
        <w:rPr>
          <w:rFonts w:ascii="等线(中文正文)" w:hAnsi="等线(中文正文)" w:cs="等线(中文正文)" w:eastAsia="等线(中文正文)"/>
          <w:b w:val="false"/>
          <w:i w:val="false"/>
          <w:sz w:val="20"/>
        </w:rPr>
        <w:t/>
      </w:r>
    </w:p>
    <w:p>
      <w:pPr>
        <w:pStyle w:val="ab"/>
        <w:numPr>
          <w:numId w:val="6"/>
        </w:numPr>
      </w:pPr>
      <w:r>
        <w:t>20:26 银保渠道与个险代理人在分红险销售中的差异分析</w:t>
      </w:r>
    </w:p>
    <w:p>
      <w:r>
        <w:rPr>
          <w:rFonts w:ascii="等线(中文正文)" w:hAnsi="等线(中文正文)" w:cs="等线(中文正文)" w:eastAsia="等线(中文正文)"/>
          <w:b w:val="false"/>
          <w:i w:val="false"/>
          <w:sz w:val="20"/>
        </w:rPr>
        <w:t>讨论了银保渠道和个险代理人在分红险销售中的核心区别，指出银保渠道因客户风险偏好低、传统险接受度高及高佣金率优势，在利率下行周期中仍具吸引力。尽管佣金率下降，但相较于其他理财产品，保险产品佣金率仍较高，驱动银行销售人员积极推广。</w:t>
      </w:r>
    </w:p>
    <w:p>
      <w:r>
        <w:rPr>
          <w:rFonts w:ascii="等线(中文正文)" w:hAnsi="等线(中文正文)" w:cs="等线(中文正文)" w:eastAsia="等线(中文正文)"/>
          <w:b w:val="false"/>
          <w:i w:val="false"/>
          <w:sz w:val="20"/>
        </w:rPr>
        <w:t/>
      </w:r>
    </w:p>
    <w:p>
      <w:pPr>
        <w:pStyle w:val="ab"/>
        <w:numPr>
          <w:numId w:val="7"/>
        </w:numPr>
      </w:pPr>
      <w:r>
        <w:t>24:48 寿险行业转型与代理人渠道的价值</w:t>
      </w:r>
    </w:p>
    <w:p>
      <w:r>
        <w:rPr>
          <w:rFonts w:ascii="等线(中文正文)" w:hAnsi="等线(中文正文)" w:cs="等线(中文正文)" w:eastAsia="等线(中文正文)"/>
          <w:b w:val="false"/>
          <w:i w:val="false"/>
          <w:sz w:val="20"/>
        </w:rPr>
        <w:t>对话探讨了寿险行业在经历代理人数量大幅波动后的现状，指出代理人渠道在推动复杂产品销售及消费者教育中的核心作用。分析认为，尽管固定收益产品需求显著，但未来保险市场可能向类似香港市场的模式发展，强调固定收益与长期投资收益率的结合。风险变革预计将带来万亿级的新配权益，上半年保费流入预计将多于下半年。此外，健康险领域，风险重疾险被视为新的增长点。</w:t>
      </w:r>
    </w:p>
    <w:p>
      <w:r>
        <w:rPr>
          <w:rFonts w:ascii="等线(中文正文)" w:hAnsi="等线(中文正文)" w:cs="等线(中文正文)" w:eastAsia="等线(中文正文)"/>
          <w:b w:val="false"/>
          <w:i w:val="false"/>
          <w:sz w:val="20"/>
        </w:rPr>
        <w:t/>
      </w:r>
    </w:p>
    <w:p>
      <w:pPr>
        <w:pStyle w:val="a7"/>
      </w:pPr>
      <w:r>
        <w:t>发言总结</w:t>
      </w:r>
    </w:p>
    <w:p>
      <w:pPr>
        <w:pStyle w:val="ab"/>
        <w:numPr>
          <w:numId w:val="8"/>
        </w:numPr>
      </w:pPr>
      <w:r>
        <w:t>发言人1</w:t>
      </w:r>
    </w:p>
    <w:p>
      <w:r>
        <w:rPr>
          <w:rFonts w:ascii="等线(中文正文)" w:hAnsi="等线(中文正文)" w:cs="等线(中文正文)" w:eastAsia="等线(中文正文)"/>
          <w:b w:val="false"/>
          <w:i w:val="false"/>
          <w:sz w:val="20"/>
        </w:rPr>
        <w:t>她，华创飞行组的保险分析师陈海燕，在汇报中深入介绍了存款搬家背景下分红险的变革。她首先将保险产品按保障标的分为人寿保险、年金保险、健康险和意外险，按产品形式分为传统险、分红险、万能险、投连险。分红险的收益率由固定和浮动两部分组成，其吸引力因市场利率下行和预定利率调整而增强，导致原保费大幅增长。她详细比较了分红险与传统金融产品如银行理财和股票基金的差异，并分析了代理人和银行渠道在销售分红险中的角色及佣金率的优势。她指出，分红险在全球保险市场中占据重要地位，未来将继续发展，尤其在推动浮动收益型产品和代理人渠道转型方面具有重要意义。</w:t>
      </w:r>
    </w:p>
    <w:p>
      <w:r>
        <w:rPr>
          <w:rFonts w:ascii="等线(中文正文)" w:hAnsi="等线(中文正文)" w:cs="等线(中文正文)" w:eastAsia="等线(中文正文)"/>
          <w:b w:val="false"/>
          <w:i w:val="false"/>
          <w:sz w:val="20"/>
        </w:rPr>
        <w:t/>
      </w:r>
    </w:p>
    <w:p>
      <w:pPr>
        <w:pStyle w:val="a7"/>
      </w:pPr>
      <w:r>
        <w:t>要点回顾</w:t>
      </w:r>
    </w:p>
    <w:p>
      <w:pPr>
        <w:pStyle w:val="ab"/>
      </w:pPr>
      <w:r>
        <w:t>在存款搬家背景下，我们今天要讨论的主题是什么？保险行业的产品类别可以根据哪些维度进行划分？</w:t>
      </w:r>
    </w:p>
    <w:p>
      <w:r>
        <w:rPr>
          <w:rFonts w:ascii="等线(中文正文)" w:hAnsi="等线(中文正文)" w:cs="等线(中文正文)" w:eastAsia="等线(中文正文)"/>
          <w:b w:val="false"/>
          <w:i w:val="false"/>
          <w:sz w:val="20"/>
        </w:rPr>
        <w:t>发言人1：今天要讨论的主题是存款搬家背景下的分红险变革。保险行业产品类别可以根据保障的标的划分为人寿保险、年金保险、健康险和意外险四大类。其中，人寿保险以寿命为标的，包含定期寿险、终身寿险、两全保险等；年金保险属于寿险的一种，提供稳定的现金流，常用于退休或长期储蓄规划。</w:t>
      </w:r>
    </w:p>
    <w:p>
      <w:r>
        <w:rPr>
          <w:rFonts w:ascii="等线(中文正文)" w:hAnsi="等线(中文正文)" w:cs="等线(中文正文)" w:eastAsia="等线(中文正文)"/>
          <w:b w:val="false"/>
          <w:i w:val="false"/>
          <w:sz w:val="20"/>
        </w:rPr>
        <w:t/>
      </w:r>
    </w:p>
    <w:p>
      <w:pPr>
        <w:pStyle w:val="ab"/>
      </w:pPr>
      <w:r>
        <w:t>健康险和意外险的特点是什么？</w:t>
      </w:r>
    </w:p>
    <w:p>
      <w:r>
        <w:rPr>
          <w:rFonts w:ascii="等线(中文正文)" w:hAnsi="等线(中文正文)" w:cs="等线(中文正文)" w:eastAsia="等线(中文正文)"/>
          <w:b w:val="false"/>
          <w:i w:val="false"/>
          <w:sz w:val="20"/>
        </w:rPr>
        <w:t>发言人1：健康险和意外险整体具有较强的消费属性。健康险以身体为标的，包括医疗险和重疾险，医疗险又分为保障型、报销型和津贴型；而意外险则主要保障突发的非疾病伤害。</w:t>
      </w:r>
    </w:p>
    <w:p>
      <w:r>
        <w:rPr>
          <w:rFonts w:ascii="等线(中文正文)" w:hAnsi="等线(中文正文)" w:cs="等线(中文正文)" w:eastAsia="等线(中文正文)"/>
          <w:b w:val="false"/>
          <w:i w:val="false"/>
          <w:sz w:val="20"/>
        </w:rPr>
        <w:t/>
      </w:r>
    </w:p>
    <w:p>
      <w:pPr>
        <w:pStyle w:val="ab"/>
      </w:pPr>
      <w:r>
        <w:t>按照产品形式对保险进行划分有哪些类型及其风险等级如何？</w:t>
      </w:r>
    </w:p>
    <w:p>
      <w:r>
        <w:rPr>
          <w:rFonts w:ascii="等线(中文正文)" w:hAnsi="等线(中文正文)" w:cs="等线(中文正文)" w:eastAsia="等线(中文正文)"/>
          <w:b w:val="false"/>
          <w:i w:val="false"/>
          <w:sz w:val="20"/>
        </w:rPr>
        <w:t>发言人1：产品形式上，保险主要分为传统险（如普通险）、分红险、万能险和投连险。从低到高，它们的风险等级依次提升。传统险类似固收产品，预定利率具有隐形刚性属性，但实际客户内含报酬率可能因持有期限、赔付等因素与预定利率有所差距。分红险和万能险为固收加产品，其中分红险的浮动收益由公司根据投资情况进行决策，万能险允许保费、保额、缴费期等调整，并设立单独投资账户进行专业化投资。投连险为纯浮动产品，类似基金账户，盈亏自负，由客户自主选择投资账户。</w:t>
      </w:r>
    </w:p>
    <w:p>
      <w:r>
        <w:rPr>
          <w:rFonts w:ascii="等线(中文正文)" w:hAnsi="等线(中文正文)" w:cs="等线(中文正文)" w:eastAsia="等线(中文正文)"/>
          <w:b w:val="false"/>
          <w:i w:val="false"/>
          <w:sz w:val="20"/>
        </w:rPr>
        <w:t/>
      </w:r>
    </w:p>
    <w:p>
      <w:pPr>
        <w:pStyle w:val="ab"/>
      </w:pPr>
      <w:r>
        <w:t>近年来寿险行业的预定利率经历了怎样的变化？</w:t>
      </w:r>
    </w:p>
    <w:p>
      <w:r>
        <w:rPr>
          <w:rFonts w:ascii="等线(中文正文)" w:hAnsi="等线(中文正文)" w:cs="等线(中文正文)" w:eastAsia="等线(中文正文)"/>
          <w:b w:val="false"/>
          <w:i w:val="false"/>
          <w:sz w:val="20"/>
        </w:rPr>
        <w:t>发言人1：自13年起，寿险行业确定了3.5%的最高预定利率上限，养老年金险产品可上浮至4.025%。19年取消了上浮后，在18至20年间储蓄型产品发展欠佳，而消费型产品如重疾险表现较好；20至24年间，随着利率下行，以增额终身寿为代表的储蓄类险种受到热卖。25年9月，预定利率进行了非对称下调，传统险从3.0调整到2.0，分红险从2.0调整到1.75，这使得分红险吸引力提升，客户需求显著转向分红险。</w:t>
      </w:r>
    </w:p>
    <w:p>
      <w:r>
        <w:rPr>
          <w:rFonts w:ascii="等线(中文正文)" w:hAnsi="等线(中文正文)" w:cs="等线(中文正文)" w:eastAsia="等线(中文正文)"/>
          <w:b w:val="false"/>
          <w:i w:val="false"/>
          <w:sz w:val="20"/>
        </w:rPr>
        <w:t/>
      </w:r>
    </w:p>
    <w:p>
      <w:pPr>
        <w:pStyle w:val="ab"/>
      </w:pPr>
      <w:r>
        <w:t>分红险的核心计算方式及其特点是什么？</w:t>
      </w:r>
    </w:p>
    <w:p>
      <w:r>
        <w:rPr>
          <w:rFonts w:ascii="等线(中文正文)" w:hAnsi="等线(中文正文)" w:cs="等线(中文正文)" w:eastAsia="等线(中文正文)"/>
          <w:b w:val="false"/>
          <w:i w:val="false"/>
          <w:sz w:val="20"/>
        </w:rPr>
        <w:t>发言人1：分红险的客户收益率包括固定和浮动两部分，固定部分对应预定利率（例如1.75%），浮动部分则基于实际投资表现和公司分红决策。监管规定给客户的超额收益不低于70%，即（演示利率-预定利率）× 分红比例 × 分红实现率。其中，分红实现率是实际分红除以演示分红，反映客户收益率与预定利率之间的关系。需要注意的是，不同年度和期间的分红实现率不具备可比性，因为预定利率值会随市场变化而变化，同时客户收益也与分红比例紧密相关。</w:t>
      </w:r>
    </w:p>
    <w:p>
      <w:r>
        <w:rPr>
          <w:rFonts w:ascii="等线(中文正文)" w:hAnsi="等线(中文正文)" w:cs="等线(中文正文)" w:eastAsia="等线(中文正文)"/>
          <w:b w:val="false"/>
          <w:i w:val="false"/>
          <w:sz w:val="20"/>
        </w:rPr>
        <w:t/>
      </w:r>
    </w:p>
    <w:p>
      <w:pPr>
        <w:pStyle w:val="ab"/>
      </w:pPr>
      <w:r>
        <w:t>分红时间是否可以直接横向比较，如何更准确地进行比较？</w:t>
      </w:r>
    </w:p>
    <w:p>
      <w:r>
        <w:rPr>
          <w:rFonts w:ascii="等线(中文正文)" w:hAnsi="等线(中文正文)" w:cs="等线(中文正文)" w:eastAsia="等线(中文正文)"/>
          <w:b w:val="false"/>
          <w:i w:val="false"/>
          <w:sz w:val="20"/>
        </w:rPr>
        <w:t>发言人1：分红时间不能简单横向比较，应当结合产品设计本身和收益率表现。最佳的比较维度是计算当期实际客户拿到的收益率，并且通常情况下，客户的内含报酬率（I）会低于名义上计算出的客户实现率，这是因为赔付场景的影响，对于未出险的客户，其收益率会偏低，这也是保险产品区别于其他理财产品的一个核心特点。</w:t>
      </w:r>
    </w:p>
    <w:p>
      <w:r>
        <w:rPr>
          <w:rFonts w:ascii="等线(中文正文)" w:hAnsi="等线(中文正文)" w:cs="等线(中文正文)" w:eastAsia="等线(中文正文)"/>
          <w:b w:val="false"/>
          <w:i w:val="false"/>
          <w:sz w:val="20"/>
        </w:rPr>
        <w:t/>
      </w:r>
    </w:p>
    <w:p>
      <w:pPr>
        <w:pStyle w:val="ab"/>
      </w:pPr>
      <w:r>
        <w:t>分红险有哪些具体的分红形式以及收入平滑机制是什么？</w:t>
      </w:r>
    </w:p>
    <w:p>
      <w:r>
        <w:rPr>
          <w:rFonts w:ascii="等线(中文正文)" w:hAnsi="等线(中文正文)" w:cs="等线(中文正文)" w:eastAsia="等线(中文正文)"/>
          <w:b w:val="false"/>
          <w:i w:val="false"/>
          <w:sz w:val="20"/>
        </w:rPr>
        <w:t>发言人1：分红险存在现金分红和保额分红两种形式。现金分红具有更好的流动性，而保额分红可通过复利实现潜在更高的回报。分红险的重要机制是收入平滑，即在投资收益较好的年份储存超额投资收益以备后期释放，保证整体保单期间红利稳定性。监管规定当盈利超过准备金的15%时必须强制释放，若为负则可能导致分红暂停。</w:t>
      </w:r>
    </w:p>
    <w:p>
      <w:r>
        <w:rPr>
          <w:rFonts w:ascii="等线(中文正文)" w:hAnsi="等线(中文正文)" w:cs="等线(中文正文)" w:eastAsia="等线(中文正文)"/>
          <w:b w:val="false"/>
          <w:i w:val="false"/>
          <w:sz w:val="20"/>
        </w:rPr>
        <w:t/>
      </w:r>
    </w:p>
    <w:p>
      <w:pPr>
        <w:pStyle w:val="ab"/>
      </w:pPr>
      <w:r>
        <w:t>从公司视角看，分红险的利润来源及分配情况如何？</w:t>
      </w:r>
    </w:p>
    <w:p>
      <w:r>
        <w:rPr>
          <w:rFonts w:ascii="等线(中文正文)" w:hAnsi="等线(中文正文)" w:cs="等线(中文正文)" w:eastAsia="等线(中文正文)"/>
          <w:b w:val="false"/>
          <w:i w:val="false"/>
          <w:sz w:val="20"/>
        </w:rPr>
        <w:t>发言人1：分红险公司的利润主要来源于死差、费差和利差，其中至少70%的利润需要分配给保单持有人，体现了风险共担的原则，剩余不超过30%的部分由公司享有。</w:t>
      </w:r>
    </w:p>
    <w:p>
      <w:r>
        <w:rPr>
          <w:rFonts w:ascii="等线(中文正文)" w:hAnsi="等线(中文正文)" w:cs="等线(中文正文)" w:eastAsia="等线(中文正文)"/>
          <w:b w:val="false"/>
          <w:i w:val="false"/>
          <w:sz w:val="20"/>
        </w:rPr>
        <w:t/>
      </w:r>
    </w:p>
    <w:p>
      <w:pPr>
        <w:pStyle w:val="ab"/>
      </w:pPr>
      <w:r>
        <w:t>新准则视角下，分红险有何意义？</w:t>
      </w:r>
    </w:p>
    <w:p>
      <w:r>
        <w:rPr>
          <w:rFonts w:ascii="等线(中文正文)" w:hAnsi="等线(中文正文)" w:cs="等线(中文正文)" w:eastAsia="等线(中文正文)"/>
          <w:b w:val="false"/>
          <w:i w:val="false"/>
          <w:sz w:val="20"/>
        </w:rPr>
        <w:t>发言人1：在新准则下，分红险适用浮动收费法，能够有效吸收投资波动带来的短期报表波动，尤其是二级市场的资产波动；同时，其有效周期更短，有助于缓解资产端匹配压力。</w:t>
      </w:r>
    </w:p>
    <w:p>
      <w:r>
        <w:rPr>
          <w:rFonts w:ascii="等线(中文正文)" w:hAnsi="等线(中文正文)" w:cs="等线(中文正文)" w:eastAsia="等线(中文正文)"/>
          <w:b w:val="false"/>
          <w:i w:val="false"/>
          <w:sz w:val="20"/>
        </w:rPr>
        <w:t/>
      </w:r>
    </w:p>
    <w:p>
      <w:pPr>
        <w:pStyle w:val="ab"/>
      </w:pPr>
      <w:r>
        <w:t>当前开门红产品形态及演示利率、分红形式有何特点？</w:t>
      </w:r>
    </w:p>
    <w:p>
      <w:r>
        <w:rPr>
          <w:rFonts w:ascii="等线(中文正文)" w:hAnsi="等线(中文正文)" w:cs="等线(中文正文)" w:eastAsia="等线(中文正文)"/>
          <w:b w:val="false"/>
          <w:i w:val="false"/>
          <w:sz w:val="20"/>
        </w:rPr>
        <w:t>发言人1：今年开门红产品以年金险为主推，部分险企演示了3.9%的产品，大部分为现金分红，太平保险采用保额分红。监管已指导分红险预定利率上限降至3.5%。</w:t>
      </w:r>
    </w:p>
    <w:p>
      <w:r>
        <w:rPr>
          <w:rFonts w:ascii="等线(中文正文)" w:hAnsi="等线(中文正文)" w:cs="等线(中文正文)" w:eastAsia="等线(中文正文)"/>
          <w:b w:val="false"/>
          <w:i w:val="false"/>
          <w:sz w:val="20"/>
        </w:rPr>
        <w:t/>
      </w:r>
    </w:p>
    <w:p>
      <w:pPr>
        <w:pStyle w:val="ab"/>
      </w:pPr>
      <w:r>
        <w:t>高风险产品（如分红险）在市场中的竞争力体现在哪些方面？</w:t>
      </w:r>
    </w:p>
    <w:p>
      <w:r>
        <w:rPr>
          <w:rFonts w:ascii="等线(中文正文)" w:hAnsi="等线(中文正文)" w:cs="等线(中文正文)" w:eastAsia="等线(中文正文)"/>
          <w:b w:val="false"/>
          <w:i w:val="false"/>
          <w:sz w:val="20"/>
        </w:rPr>
        <w:t>发言人1：高风险产品的竞争力首先从内部比较来看，传统险、万能险与分红险之间的比较，以及从国际经验（如香港市场储蓄型分红险、英美市场的万能加投联产品）的角度分析。同时，与银行理财和银行存款对比，分红险在收益上有明显优势，且提供刚性兑付保障，天然具备收益率优势，尤其在权益市场活跃时，实际到手收益率更高。此外，与银行定存对比，分红险因其预定利率调整机制和长期理财路径的设计，也具有一定的优势。</w:t>
      </w:r>
    </w:p>
    <w:p>
      <w:r>
        <w:rPr>
          <w:rFonts w:ascii="等线(中文正文)" w:hAnsi="等线(中文正文)" w:cs="等线(中文正文)" w:eastAsia="等线(中文正文)"/>
          <w:b w:val="false"/>
          <w:i w:val="false"/>
          <w:sz w:val="20"/>
        </w:rPr>
        <w:t/>
      </w:r>
    </w:p>
    <w:p>
      <w:pPr>
        <w:pStyle w:val="ab"/>
      </w:pPr>
      <w:r>
        <w:t>为什么对于分红险的收益率要进行限高的窗口指导？</w:t>
      </w:r>
    </w:p>
    <w:p>
      <w:r>
        <w:rPr>
          <w:rFonts w:ascii="等线(中文正文)" w:hAnsi="等线(中文正文)" w:cs="等线(中文正文)" w:eastAsia="等线(中文正文)"/>
          <w:b w:val="false"/>
          <w:i w:val="false"/>
          <w:sz w:val="20"/>
        </w:rPr>
        <w:t>发言人1：从短期业绩和消费端角度看，保险公司可能会被诱使设定较高的演示收益率以吸引客户，但这会导致长期经营中红利实现率较低，引发信任危机甚至集体诉讼。因此，从长期经营的角度出发，分红险的演示和实际结算的分红水平应基于公司的投资表现来决策。</w:t>
      </w:r>
    </w:p>
    <w:p>
      <w:r>
        <w:rPr>
          <w:rFonts w:ascii="等线(中文正文)" w:hAnsi="等线(中文正文)" w:cs="等线(中文正文)" w:eastAsia="等线(中文正文)"/>
          <w:b w:val="false"/>
          <w:i w:val="false"/>
          <w:sz w:val="20"/>
        </w:rPr>
        <w:t/>
      </w:r>
    </w:p>
    <w:p>
      <w:pPr>
        <w:pStyle w:val="ab"/>
      </w:pPr>
      <w:r>
        <w:t>分红险与指数型基金相比，在产品竞争力和短板方面有何区别？</w:t>
      </w:r>
    </w:p>
    <w:p>
      <w:r>
        <w:rPr>
          <w:rFonts w:ascii="等线(中文正文)" w:hAnsi="等线(中文正文)" w:cs="等线(中文正文)" w:eastAsia="等线(中文正文)"/>
          <w:b w:val="false"/>
          <w:i w:val="false"/>
          <w:sz w:val="20"/>
        </w:rPr>
        <w:t>发言人1：指数型基金在理解和流动性上有优势，且投资门槛低，但不具备保底收益，存在回撤和波动风险，要求客户具备一定的金融知识素养。而分红险虽然波动相对较小且具有一定吸引力（如股息率），但相较于指数型基金，在产品类别或面上存在差异。</w:t>
      </w:r>
    </w:p>
    <w:p>
      <w:r>
        <w:rPr>
          <w:rFonts w:ascii="等线(中文正文)" w:hAnsi="等线(中文正文)" w:cs="等线(中文正文)" w:eastAsia="等线(中文正文)"/>
          <w:b w:val="false"/>
          <w:i w:val="false"/>
          <w:sz w:val="20"/>
        </w:rPr>
        <w:t/>
      </w:r>
    </w:p>
    <w:p>
      <w:pPr>
        <w:pStyle w:val="ab"/>
      </w:pPr>
      <w:r>
        <w:t>保险渠道与银保渠道销售分红险的核心区别是什么？银保渠道销售分红险的驱动因素是什么？</w:t>
      </w:r>
    </w:p>
    <w:p>
      <w:r>
        <w:rPr>
          <w:rFonts w:ascii="等线(中文正文)" w:hAnsi="等线(中文正文)" w:cs="等线(中文正文)" w:eastAsia="等线(中文正文)"/>
          <w:b w:val="false"/>
          <w:i w:val="false"/>
          <w:sz w:val="20"/>
        </w:rPr>
        <w:t>发言人1：从供给层面看，产品设计并无明显区别，但在费用假设上存在差异。银保渠道客群风险承受度较低，更偏好传统保险产品，而由于利率下行及非对称影响，客户逐渐转向选择分红险。当前银行存款搬家的趋势是主要驱动因素，尤其是在过去三年期、五年期定存集中到期的年份，同时叠加利率下行周期，使得存款吸引力下降，而保险、理财、基金等产品佣金率相对较高，因此银行代销保险产品的动力较大。</w:t>
      </w:r>
    </w:p>
    <w:p>
      <w:r>
        <w:rPr>
          <w:rFonts w:ascii="等线(中文正文)" w:hAnsi="等线(中文正文)" w:cs="等线(中文正文)" w:eastAsia="等线(中文正文)"/>
          <w:b w:val="false"/>
          <w:i w:val="false"/>
          <w:sz w:val="20"/>
        </w:rPr>
        <w:t/>
      </w:r>
    </w:p>
    <w:p>
      <w:pPr>
        <w:pStyle w:val="ab"/>
      </w:pPr>
      <w:r>
        <w:t>银保渠道中保险产品的佣金率为何仍然较高？</w:t>
      </w:r>
    </w:p>
    <w:p>
      <w:r>
        <w:rPr>
          <w:rFonts w:ascii="等线(中文正文)" w:hAnsi="等线(中文正文)" w:cs="等线(中文正文)" w:eastAsia="等线(中文正文)"/>
          <w:b w:val="false"/>
          <w:i w:val="false"/>
          <w:sz w:val="20"/>
        </w:rPr>
        <w:t>发言人1：尽管银保佣金率相比之前有所下降，但在公募基金降费等背景下，保险产品的佣金率仍明显高于代销基金和信托产品，这促使银行销售人员有较大动力销售保险产品。</w:t>
      </w:r>
    </w:p>
    <w:p>
      <w:r>
        <w:rPr>
          <w:rFonts w:ascii="等线(中文正文)" w:hAnsi="等线(中文正文)" w:cs="等线(中文正文)" w:eastAsia="等线(中文正文)"/>
          <w:b w:val="false"/>
          <w:i w:val="false"/>
          <w:sz w:val="20"/>
        </w:rPr>
        <w:t/>
      </w:r>
    </w:p>
    <w:p>
      <w:pPr>
        <w:pStyle w:val="ab"/>
      </w:pPr>
      <w:r>
        <w:t>个体渠道目前的发展状况及未来意义是什么？</w:t>
      </w:r>
    </w:p>
    <w:p>
      <w:r>
        <w:rPr>
          <w:rFonts w:ascii="等线(中文正文)" w:hAnsi="等线(中文正文)" w:cs="等线(中文正文)" w:eastAsia="等线(中文正文)"/>
          <w:b w:val="false"/>
          <w:i w:val="false"/>
          <w:sz w:val="20"/>
        </w:rPr>
        <w:t>发言人1：代理人渠道正在经历转型，代理人数量出现波动，但个人渠道对于寿险公司而言仍是风险转型和销售复杂、长期限产品的核心壁垒。尽管短期内可能不如银保渠道亮眼，但从长远看，个人渠道的重要性不容忽视。</w:t>
      </w:r>
    </w:p>
    <w:p>
      <w:r>
        <w:rPr>
          <w:rFonts w:ascii="等线(中文正文)" w:hAnsi="等线(中文正文)" w:cs="等线(中文正文)" w:eastAsia="等线(中文正文)"/>
          <w:b w:val="false"/>
          <w:i w:val="false"/>
          <w:sz w:val="20"/>
        </w:rPr>
        <w:t/>
      </w:r>
    </w:p>
    <w:p>
      <w:pPr>
        <w:pStyle w:val="ab"/>
      </w:pPr>
      <w:r>
        <w:t>风险变革将对保险行业带来怎样的影响？</w:t>
      </w:r>
    </w:p>
    <w:p>
      <w:r>
        <w:rPr>
          <w:rFonts w:ascii="等线(中文正文)" w:hAnsi="等线(中文正文)" w:cs="等线(中文正文)" w:eastAsia="等线(中文正文)"/>
          <w:b w:val="false"/>
          <w:i w:val="false"/>
          <w:sz w:val="20"/>
        </w:rPr>
        <w:t>发言人1：风险变革预计将为2026年带来新增的新配权益量级近万亿量级，上半年保费流入可能比下半年更多。产品转型方面，中国保险市场可能更倾向于保持固定收益部分，并结合万能投连等方式追求更高投资收益率，同时保障型产品中风险重疾险有望成为健康险的新风口。</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2026-08-21T01:21:36Z</dcterms:created>
  <dc:creator>Apache POI</dc:creator>
</cp:coreProperties>
</file>