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战胜偏股基金指数：构建高锐度多策略FOF组合 260819_导读</w:t>
      </w:r>
    </w:p>
    <w:p>
      <w:pPr>
        <w:pStyle w:val="a0"/>
        <w:jc w:val="center"/>
      </w:pPr>
      <w:r>
        <w:t>2026年08月21日 09:14</w:t>
      </w:r>
    </w:p>
    <w:p>
      <w:pPr>
        <w:pStyle w:val="a7"/>
      </w:pPr>
      <w:r>
        <w:t>关键词</w:t>
      </w:r>
    </w:p>
    <w:p>
      <w:r>
        <w:rPr>
          <w:rFonts w:ascii="等线(中文正文)" w:hAnsi="等线(中文正文)" w:cs="等线(中文正文)" w:eastAsia="等线(中文正文)"/>
          <w:b w:val="false"/>
          <w:i w:val="false"/>
          <w:sz w:val="20"/>
        </w:rPr>
        <w:t xml:space="preserve">国联民生 金融工程 偏股基金指数 风格划分 矛盾扩散 分域增强组合 超额收益 成长基金 价值基金 分析师预期 利润率 持仓股 基金池 调仓 日度收益率 PPS暴露 投资建议 风格 组合 成长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国联民生金融工程团队分享了构建高密度多策略FOF组合的策略，目标是超越偏股基金指数。他们强调了构建基金池的重要性，并详述了依据基金风格进行分类与增强组合的方法，旨在优化组合表现。团队还探讨了策略组合间的相关性，以及根据不同基准实施组合的策略。报告中提出了跟踪指数模式与风险评价模式两种应用方式，分析了各自的优劣。整体策略聚焦于通过风格界定和多策略增强来追求超额收益，同时强调了实施过程中的关键考量因素，旨在为投资者提供更为精准和高效的资产配置方案。</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构建高锐度多策略FOF组合战胜偏股基金指数</w:t>
      </w:r>
    </w:p>
    <w:p>
      <w:r>
        <w:rPr>
          <w:rFonts w:ascii="等线(中文正文)" w:hAnsi="等线(中文正文)" w:cs="等线(中文正文)" w:eastAsia="等线(中文正文)"/>
          <w:b w:val="false"/>
          <w:i w:val="false"/>
          <w:sz w:val="20"/>
        </w:rPr>
        <w:t>报告探讨了构建高锐度多策略FOF组合以战胜偏股基金指数的方法，首先论证了高密度基金池的构建必要性，其次通过矛盾扩散思路对基金进行风格划分，并在风格下进行分月增强组合构建，最后基于分域增强组合在不同基准下进行应用，旨在实现投资目标的同时控制风险。</w:t>
      </w:r>
    </w:p>
    <w:p>
      <w:r>
        <w:rPr>
          <w:rFonts w:ascii="等线(中文正文)" w:hAnsi="等线(中文正文)" w:cs="等线(中文正文)" w:eastAsia="等线(中文正文)"/>
          <w:b w:val="false"/>
          <w:i w:val="false"/>
          <w:sz w:val="20"/>
        </w:rPr>
        <w:t/>
      </w:r>
    </w:p>
    <w:p>
      <w:pPr>
        <w:pStyle w:val="ab"/>
        <w:numPr>
          <w:numId w:val="2"/>
        </w:numPr>
      </w:pPr>
      <w:r>
        <w:t>01:41 公募FOF持仓与基金池策略分析及改进建议</w:t>
      </w:r>
    </w:p>
    <w:p>
      <w:r>
        <w:rPr>
          <w:rFonts w:ascii="等线(中文正文)" w:hAnsi="等线(中文正文)" w:cs="等线(中文正文)" w:eastAsia="等线(中文正文)"/>
          <w:b w:val="false"/>
          <w:i w:val="false"/>
          <w:sz w:val="20"/>
        </w:rPr>
        <w:t>报告指出公募FOF持仓集中度高，热门基金集中持有，导致策略差异性弱，阿尔法获取难。团队长期跟踪的六个基金池虽能长期战胜指数，但超额收益稳定性及策略差异性有改进空间。核心资产与长期成长基金组合历史超额收益相关性高，而新兴成长与周期成长基金在无明显市场机会时区分度低。建议改进策略相关性，增强策略差异性。</w:t>
      </w:r>
    </w:p>
    <w:p>
      <w:r>
        <w:rPr>
          <w:rFonts w:ascii="等线(中文正文)" w:hAnsi="等线(中文正文)" w:cs="等线(中文正文)" w:eastAsia="等线(中文正文)"/>
          <w:b w:val="false"/>
          <w:i w:val="false"/>
          <w:sz w:val="20"/>
        </w:rPr>
        <w:t/>
      </w:r>
    </w:p>
    <w:p>
      <w:pPr>
        <w:pStyle w:val="ab"/>
        <w:numPr>
          <w:numId w:val="3"/>
        </w:numPr>
      </w:pPr>
      <w:r>
        <w:t>05:01 基于锚定池的基金风格划分与多因子增强策略</w:t>
      </w:r>
    </w:p>
    <w:p>
      <w:r>
        <w:rPr>
          <w:rFonts w:ascii="等线(中文正文)" w:hAnsi="等线(中文正文)" w:cs="等线(中文正文)" w:eastAsia="等线(中文正文)"/>
          <w:b w:val="false"/>
          <w:i w:val="false"/>
          <w:sz w:val="20"/>
        </w:rPr>
        <w:t>通过构建风格锚定池，定期调整以反映基金最新表现，利用超额收益回归拟合方法对基金风格进行季度划分。在此基础上，实施分风格多因子增强策略，最终根据锚定指数或风格配置模型合并生成组合。</w:t>
      </w:r>
    </w:p>
    <w:p>
      <w:r>
        <w:rPr>
          <w:rFonts w:ascii="等线(中文正文)" w:hAnsi="等线(中文正文)" w:cs="等线(中文正文)" w:eastAsia="等线(中文正文)"/>
          <w:b w:val="false"/>
          <w:i w:val="false"/>
          <w:sz w:val="20"/>
        </w:rPr>
        <w:t/>
      </w:r>
    </w:p>
    <w:p>
      <w:pPr>
        <w:pStyle w:val="ab"/>
        <w:numPr>
          <w:numId w:val="4"/>
        </w:numPr>
      </w:pPr>
      <w:r>
        <w:t>06:27 基金风格界定与增强组合构建方法</w:t>
      </w:r>
    </w:p>
    <w:p>
      <w:r>
        <w:rPr>
          <w:rFonts w:ascii="等线(中文正文)" w:hAnsi="等线(中文正文)" w:cs="等线(中文正文)" w:eastAsia="等线(中文正文)"/>
          <w:b w:val="false"/>
          <w:i w:val="false"/>
          <w:sz w:val="20"/>
        </w:rPr>
        <w:t>通过设定成长与价值的锚定点，采用回归分析法对基金风格进行界定，每年两次构建价值与成长基金的锚点指数，对未入选基金进行风格划分，超过0.7的回归系数则认定为偏成长或偏价值，低于0.7则视为均衡风格。</w:t>
      </w:r>
    </w:p>
    <w:p>
      <w:r>
        <w:rPr>
          <w:rFonts w:ascii="等线(中文正文)" w:hAnsi="等线(中文正文)" w:cs="等线(中文正文)" w:eastAsia="等线(中文正文)"/>
          <w:b w:val="false"/>
          <w:i w:val="false"/>
          <w:sz w:val="20"/>
        </w:rPr>
        <w:t/>
      </w:r>
    </w:p>
    <w:p>
      <w:pPr>
        <w:pStyle w:val="ab"/>
        <w:numPr>
          <w:numId w:val="5"/>
        </w:numPr>
      </w:pPr>
      <w:r>
        <w:t>10:07 调整回归样本提升基金风格划分准确性</w:t>
      </w:r>
    </w:p>
    <w:p>
      <w:r>
        <w:rPr>
          <w:rFonts w:ascii="等线(中文正文)" w:hAnsi="等线(中文正文)" w:cs="等线(中文正文)" w:eastAsia="等线(中文正文)"/>
          <w:b w:val="false"/>
          <w:i w:val="false"/>
          <w:sz w:val="20"/>
        </w:rPr>
        <w:t>为提高回归质量，通过筛选日度收益差异最大的前30%交易日作为样本，增强成长与价值解释变量的分化，从而更准确地划分主动基金风格。结果显示，约50%基金为均衡型，30%偏成长，10%偏价值，划分基于0.7的高阈值。</w:t>
      </w:r>
    </w:p>
    <w:p>
      <w:r>
        <w:rPr>
          <w:rFonts w:ascii="等线(中文正文)" w:hAnsi="等线(中文正文)" w:cs="等线(中文正文)" w:eastAsia="等线(中文正文)"/>
          <w:b w:val="false"/>
          <w:i w:val="false"/>
          <w:sz w:val="20"/>
        </w:rPr>
        <w:t/>
      </w:r>
    </w:p>
    <w:p>
      <w:pPr>
        <w:pStyle w:val="ab"/>
        <w:numPr>
          <w:numId w:val="6"/>
        </w:numPr>
      </w:pPr>
      <w:r>
        <w:t>11:39 成长与价值基金池收益相关性分析及多策略组合构建</w:t>
      </w:r>
    </w:p>
    <w:p>
      <w:r>
        <w:rPr>
          <w:rFonts w:ascii="等线(中文正文)" w:hAnsi="等线(中文正文)" w:cs="等线(中文正文)" w:eastAsia="等线(中文正文)"/>
          <w:b w:val="false"/>
          <w:i w:val="false"/>
          <w:sz w:val="20"/>
        </w:rPr>
        <w:t>讨论了成长、价值和均衡基金池间的收益相关性，指出成长与价值组合几乎完全负相关，而均衡基金与价值相关性受市场风格影响。基于此，构建了成长多策略组合，通过分析师预期和利润率等因子筛选基金，回测显示组合弹性强，超额收益稳定，尤其在成长风格占优年份表现突出。</w:t>
      </w:r>
    </w:p>
    <w:p>
      <w:r>
        <w:rPr>
          <w:rFonts w:ascii="等线(中文正文)" w:hAnsi="等线(中文正文)" w:cs="等线(中文正文)" w:eastAsia="等线(中文正文)"/>
          <w:b w:val="false"/>
          <w:i w:val="false"/>
          <w:sz w:val="20"/>
        </w:rPr>
        <w:t/>
      </w:r>
    </w:p>
    <w:p>
      <w:pPr>
        <w:pStyle w:val="ab"/>
        <w:numPr>
          <w:numId w:val="7"/>
        </w:numPr>
      </w:pPr>
      <w:r>
        <w:t>15:42 价值投资策略与价值陷阱规避</w:t>
      </w:r>
    </w:p>
    <w:p>
      <w:r>
        <w:rPr>
          <w:rFonts w:ascii="等线(中文正文)" w:hAnsi="等线(中文正文)" w:cs="等线(中文正文)" w:eastAsia="等线(中文正文)"/>
          <w:b w:val="false"/>
          <w:i w:val="false"/>
          <w:sz w:val="20"/>
        </w:rPr>
        <w:t>讨论了价值投资策略中如何通过持仓PPS暴露和预期净利润率来规避价值陷阱，强调了价值组合在市场风格切换时的低波动性和绝对收益表现，特别是在21到24年间，展现了其作为偏绝对收益投资策略的特点。</w:t>
      </w:r>
    </w:p>
    <w:p>
      <w:r>
        <w:rPr>
          <w:rFonts w:ascii="等线(中文正文)" w:hAnsi="等线(中文正文)" w:cs="等线(中文正文)" w:eastAsia="等线(中文正文)"/>
          <w:b w:val="false"/>
          <w:i w:val="false"/>
          <w:sz w:val="20"/>
        </w:rPr>
        <w:t/>
      </w:r>
    </w:p>
    <w:p>
      <w:pPr>
        <w:pStyle w:val="ab"/>
        <w:numPr>
          <w:numId w:val="8"/>
        </w:numPr>
      </w:pPr>
      <w:r>
        <w:t>17:01 均衡策略下的基金选择与组合构建</w:t>
      </w:r>
    </w:p>
    <w:p>
      <w:r>
        <w:rPr>
          <w:rFonts w:ascii="等线(中文正文)" w:hAnsi="等线(中文正文)" w:cs="等线(中文正文)" w:eastAsia="等线(中文正文)"/>
          <w:b w:val="false"/>
          <w:i w:val="false"/>
          <w:sz w:val="20"/>
        </w:rPr>
        <w:t>讨论了在均衡类策略中，由于基金涵盖类型复杂，难以用统一因子筛选，转而采用团队跟踪的成长价值PPLE组合替代。选择标准为最近12个月超额收益均值比标准差最高的前十只基金，构建等权组合，该组合相对于偏股基金指数历史胜率最高，且今年截止8月底实现正超额收益。</w:t>
      </w:r>
    </w:p>
    <w:p>
      <w:r>
        <w:rPr>
          <w:rFonts w:ascii="等线(中文正文)" w:hAnsi="等线(中文正文)" w:cs="等线(中文正文)" w:eastAsia="等线(中文正文)"/>
          <w:b w:val="false"/>
          <w:i w:val="false"/>
          <w:sz w:val="20"/>
        </w:rPr>
        <w:t/>
      </w:r>
    </w:p>
    <w:p>
      <w:pPr>
        <w:pStyle w:val="ab"/>
        <w:numPr>
          <w:numId w:val="9"/>
        </w:numPr>
      </w:pPr>
      <w:r>
        <w:t>18:38 多策略组合优化与相关性分析</w:t>
      </w:r>
    </w:p>
    <w:p>
      <w:r>
        <w:rPr>
          <w:rFonts w:ascii="等线(中文正文)" w:hAnsi="等线(中文正文)" w:cs="等线(中文正文)" w:eastAsia="等线(中文正文)"/>
          <w:b w:val="false"/>
          <w:i w:val="false"/>
          <w:sz w:val="20"/>
        </w:rPr>
        <w:t>讨论了多策略组合中各策略需长期跑赢基准且保持低相关性的重要性。分析显示成长与价值策略呈现明显负相关，而成长与均衡策略在成长行情占优时相关性较高，整体策略间长期平均相关性较低，支持了构建分域组合应用的基础。</w:t>
      </w:r>
    </w:p>
    <w:p>
      <w:r>
        <w:rPr>
          <w:rFonts w:ascii="等线(中文正文)" w:hAnsi="等线(中文正文)" w:cs="等线(中文正文)" w:eastAsia="等线(中文正文)"/>
          <w:b w:val="false"/>
          <w:i w:val="false"/>
          <w:sz w:val="20"/>
        </w:rPr>
        <w:t/>
      </w:r>
    </w:p>
    <w:p>
      <w:pPr>
        <w:pStyle w:val="ab"/>
        <w:numPr>
          <w:numId w:val="10"/>
        </w:numPr>
      </w:pPr>
      <w:r>
        <w:t>20:15 指数跟踪与风格配置策略探讨</w:t>
      </w:r>
    </w:p>
    <w:p>
      <w:r>
        <w:rPr>
          <w:rFonts w:ascii="等线(中文正文)" w:hAnsi="等线(中文正文)" w:cs="等线(中文正文)" w:eastAsia="等线(中文正文)"/>
          <w:b w:val="false"/>
          <w:i w:val="false"/>
          <w:sz w:val="20"/>
        </w:rPr>
        <w:t>讨论了两种跟踪指数的方式：直接跟踪指数风格占比和风格轮动模式。通过分析885001和中证800指数，展示了如何根据指数成分基金的风格划分来确定成长、价值和均衡的配置比例，以获取超额收益。指出在大多数年份，该策略能保持较高的超额收益稳定性，但银行股表现强劲时可能跑输。</w:t>
      </w:r>
    </w:p>
    <w:p>
      <w:r>
        <w:rPr>
          <w:rFonts w:ascii="等线(中文正文)" w:hAnsi="等线(中文正文)" w:cs="等线(中文正文)" w:eastAsia="等线(中文正文)"/>
          <w:b w:val="false"/>
          <w:i w:val="false"/>
          <w:sz w:val="20"/>
        </w:rPr>
        <w:t/>
      </w:r>
    </w:p>
    <w:p>
      <w:pPr>
        <w:pStyle w:val="ab"/>
        <w:numPr>
          <w:numId w:val="11"/>
        </w:numPr>
      </w:pPr>
      <w:r>
        <w:t>24:44 风格权重分配与风险评价在FOF组合中的应用</w:t>
      </w:r>
    </w:p>
    <w:p>
      <w:r>
        <w:rPr>
          <w:rFonts w:ascii="等线(中文正文)" w:hAnsi="等线(中文正文)" w:cs="等线(中文正文)" w:eastAsia="等线(中文正文)"/>
          <w:b w:val="false"/>
          <w:i w:val="false"/>
          <w:sz w:val="20"/>
        </w:rPr>
        <w:t>报告探讨了通过矛盾扩散方式界定基金风格，构建分域增强组合，并提出两种组合权重分配模式：跟踪指数与风险评价。前者基于指数风格占比调整策略比例，减少跟踪误差；后者采用风险评价，使价值组合占比更高，虽稳健但牛市超额收益较弱。总结了模式对组合波动率、收益及市场适应性的不同影响，强调了策略间低相关性的重要性。</w:t>
      </w:r>
    </w:p>
    <w:p>
      <w:r>
        <w:rPr>
          <w:rFonts w:ascii="等线(中文正文)" w:hAnsi="等线(中文正文)" w:cs="等线(中文正文)" w:eastAsia="等线(中文正文)"/>
          <w:b w:val="false"/>
          <w:i w:val="false"/>
          <w:sz w:val="20"/>
        </w:rPr>
        <w:t/>
      </w:r>
    </w:p>
    <w:p>
      <w:pPr>
        <w:pStyle w:val="a7"/>
      </w:pPr>
      <w:r>
        <w:t>发言总结</w:t>
      </w:r>
    </w:p>
    <w:p>
      <w:pPr>
        <w:pStyle w:val="ab"/>
        <w:numPr>
          <w:numId w:val="12"/>
        </w:numPr>
      </w:pPr>
      <w:r>
        <w:t>发言人1</w:t>
      </w:r>
    </w:p>
    <w:p>
      <w:r>
        <w:rPr>
          <w:rFonts w:ascii="等线(中文正文)" w:hAnsi="等线(中文正文)" w:cs="等线(中文正文)" w:eastAsia="等线(中文正文)"/>
          <w:b w:val="false"/>
          <w:i w:val="false"/>
          <w:sz w:val="20"/>
        </w:rPr>
        <w:t>介绍了国联民生金融工程中的高密度多策略FOF组合，旨在超越偏股基金指数。报告强调了构建高密度基金池的必要性，通过风格划分和分月增强组合策略，根据基金特性进行投资。当前公募FOF面临持仓相似度高、超额收益难获得的问题，之前的基金组合在超额稳定性和策略差异性方面需改进。通过矛盾扩散思路，报告对基金进行风格划分，并在此基础上进行风格下的分月增强组合。最终，根据不同基准下的分域组合应用，采用跟踪指数或风格轮动模式，以实现对偏股基金指数的战胜。报告详细阐述了风格界定、分域增强组合的构建方法及多策略组合的融合方式，旨在通过策略和风格的优化，提升投资组合的表现。他强调，未经国联、民生证券许可，不得复制或转载会议内容，强调了法律责任。</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问：这篇报告的主要内容是什么？团队如何改进原有基金组合的问题？</w:t>
      </w:r>
    </w:p>
    <w:p>
      <w:r>
        <w:rPr>
          <w:rFonts w:ascii="等线(中文正文)" w:hAnsi="等线(中文正文)" w:cs="等线(中文正文)" w:eastAsia="等线(中文正文)"/>
          <w:b w:val="false"/>
          <w:i w:val="false"/>
          <w:sz w:val="20"/>
        </w:rPr>
        <w:t>发言人1 答：这篇报告主要介绍了通过构建高密度多策略FOF组合来目标战胜偏股基金指数的方法，报告分为四个部分：首先论证了构建这种基金池的必要性；其次，采用矛盾扩散思路对基金进行风格划分，并在此基础上进行分月增强组合；第三部分基于第二部分的分域增强组合，在不同基准下应用这些组合；最后是总结和风险提示。团队通过对市场机遇和基金投资行业渗透率差异的分析，将基金划分为新兴成长和周期成长两类，并结合历史上的领先性机会调整策略，以降低收益相关性，实现更有效的组合构建。</w:t>
      </w:r>
    </w:p>
    <w:p>
      <w:r>
        <w:rPr>
          <w:rFonts w:ascii="等线(中文正文)" w:hAnsi="等线(中文正文)" w:cs="等线(中文正文)" w:eastAsia="等线(中文正文)"/>
          <w:b w:val="false"/>
          <w:i w:val="false"/>
          <w:sz w:val="20"/>
        </w:rPr>
        <w:t/>
      </w:r>
    </w:p>
    <w:p>
      <w:pPr>
        <w:pStyle w:val="ab"/>
      </w:pPr>
      <w:r>
        <w:t>发言人1 问：公募FOF存在哪些问题？</w:t>
      </w:r>
    </w:p>
    <w:p>
      <w:r>
        <w:rPr>
          <w:rFonts w:ascii="等线(中文正文)" w:hAnsi="等线(中文正文)" w:cs="等线(中文正文)" w:eastAsia="等线(中文正文)"/>
          <w:b w:val="false"/>
          <w:i w:val="false"/>
          <w:sz w:val="20"/>
        </w:rPr>
        <w:t>发言人1 答：公募FOF整体持仓相似度较高，热门基金被集中持有，导致产品间阿尔法获取难度增大。同时，团队跟踪的六个季度调仓、偏风格属性的基金池虽然能长期战胜偏股基金指数，但在超额稳定性、策略差异性和落地实施方面仍有较大改进空间，主要体现在策略间相关系数较高。</w:t>
      </w:r>
    </w:p>
    <w:p>
      <w:r>
        <w:rPr>
          <w:rFonts w:ascii="等线(中文正文)" w:hAnsi="等线(中文正文)" w:cs="等线(中文正文)" w:eastAsia="等线(中文正文)"/>
          <w:b w:val="false"/>
          <w:i w:val="false"/>
          <w:sz w:val="20"/>
        </w:rPr>
        <w:t/>
      </w:r>
    </w:p>
    <w:p>
      <w:pPr>
        <w:pStyle w:val="ab"/>
      </w:pPr>
      <w:r>
        <w:t>发言人1 问：报告中的思路是如何确定锚定池的？</w:t>
      </w:r>
    </w:p>
    <w:p>
      <w:r>
        <w:rPr>
          <w:rFonts w:ascii="等线(中文正文)" w:hAnsi="等线(中文正文)" w:cs="等线(中文正文)" w:eastAsia="等线(中文正文)"/>
          <w:b w:val="false"/>
          <w:i w:val="false"/>
          <w:sz w:val="20"/>
        </w:rPr>
        <w:t>发言人1 答：报告首先确定每个风格下最明显特点的基金池（锚定池），选取每个风格下最符合定义的50个或100个基金，并根据最新披露的季报每个季度进行调整。然后利用锚定池中基金的超额收益对其他基金进行回归拟合，根据回归结果每个季度末给每个基金划分风格，再基于此在不同风格域内构建多因子增强组合。</w:t>
      </w:r>
    </w:p>
    <w:p>
      <w:r>
        <w:rPr>
          <w:rFonts w:ascii="等线(中文正文)" w:hAnsi="等线(中文正文)" w:cs="等线(中文正文)" w:eastAsia="等线(中文正文)"/>
          <w:b w:val="false"/>
          <w:i w:val="false"/>
          <w:sz w:val="20"/>
        </w:rPr>
        <w:t/>
      </w:r>
    </w:p>
    <w:p>
      <w:pPr>
        <w:pStyle w:val="ab"/>
      </w:pPr>
      <w:r>
        <w:t>发言人1 问：风格界定划分的具体标准是什么？</w:t>
      </w:r>
    </w:p>
    <w:p>
      <w:r>
        <w:rPr>
          <w:rFonts w:ascii="等线(中文正文)" w:hAnsi="等线(中文正文)" w:cs="等线(中文正文)" w:eastAsia="等线(中文正文)"/>
          <w:b w:val="false"/>
          <w:i w:val="false"/>
          <w:sz w:val="20"/>
        </w:rPr>
        <w:t>发言人1 答：对于价值风格的基金，要求基金经理管理以来及最近一年持仓个股在PB和PPR因子上有正向暴露，且平均PB982中value暴露排名前50；成长风格基金则要求管理以来及最近一年持仓股成长因子暴露至少排在前3分之1，并且对于新兴成长和周期成长股票池的持仓占比至少排在前100位。团队会基于这些标准每年7月底构建价值和成长基金的锚点指数。</w:t>
      </w:r>
    </w:p>
    <w:p>
      <w:r>
        <w:rPr>
          <w:rFonts w:ascii="等线(中文正文)" w:hAnsi="等线(中文正文)" w:cs="等线(中文正文)" w:eastAsia="等线(中文正文)"/>
          <w:b w:val="false"/>
          <w:i w:val="false"/>
          <w:sz w:val="20"/>
        </w:rPr>
        <w:t/>
      </w:r>
    </w:p>
    <w:p>
      <w:pPr>
        <w:pStyle w:val="ab"/>
      </w:pPr>
      <w:r>
        <w:t>发言人1 问：在第三步中，你们是如何对未包含在锚点值构建中的其他基金进行风格划分的？</w:t>
      </w:r>
    </w:p>
    <w:p>
      <w:r>
        <w:rPr>
          <w:rFonts w:ascii="等线(中文正文)" w:hAnsi="等线(中文正文)" w:cs="等线(中文正文)" w:eastAsia="等线(中文正文)"/>
          <w:b w:val="false"/>
          <w:i w:val="false"/>
          <w:sz w:val="20"/>
        </w:rPr>
        <w:t>发言人1 答：我们选取了其他某只基金过去一年相对于偏股型指数的日度超额收益作为被解释变量，而解释变量X1和X2分别是之前构建的价值和成长基金锚点池的拟合滚动结果。通过回归分析，我们希望两个回归系数相加后大于零且小于一，以此判断该基金超额收益率中有多少比例能被成长和价值风格解释。基于回归结果和设定的阈值（例如0.7），如果某一系数当期超过0.7，则认为该基金当期偏向成长或价值风格；若两者均小于0.7，则视为均衡风格。这个过程每年在7月底进行，并为每只基金赋予相应的风格标签。</w:t>
      </w:r>
    </w:p>
    <w:p>
      <w:r>
        <w:rPr>
          <w:rFonts w:ascii="等线(中文正文)" w:hAnsi="等线(中文正文)" w:cs="等线(中文正文)" w:eastAsia="等线(中文正文)"/>
          <w:b w:val="false"/>
          <w:i w:val="false"/>
          <w:sz w:val="20"/>
        </w:rPr>
        <w:t/>
      </w:r>
    </w:p>
    <w:p>
      <w:pPr>
        <w:pStyle w:val="ab"/>
      </w:pPr>
      <w:r>
        <w:t>发言人1 问：在回归过程中，你们如何处理样本选择的问题以提高回归质量？</w:t>
      </w:r>
    </w:p>
    <w:p>
      <w:r>
        <w:rPr>
          <w:rFonts w:ascii="等线(中文正文)" w:hAnsi="等线(中文正文)" w:cs="等线(中文正文)" w:eastAsia="等线(中文正文)"/>
          <w:b w:val="false"/>
          <w:i w:val="false"/>
          <w:sz w:val="20"/>
        </w:rPr>
        <w:t>发言人1 答：为了排除成长和价值同涨或同跌导致的无效样本影响，我们在实际回归时只考虑成长与价值日度收益差异最明显的前30%交易日的数据进行分析，这样可以确保解释变量间的收益分化更加明显，从而增强回归模型的解释力度。</w:t>
      </w:r>
    </w:p>
    <w:p>
      <w:r>
        <w:rPr>
          <w:rFonts w:ascii="等线(中文正文)" w:hAnsi="等线(中文正文)" w:cs="等线(中文正文)" w:eastAsia="等线(中文正文)"/>
          <w:b w:val="false"/>
          <w:i w:val="false"/>
          <w:sz w:val="20"/>
        </w:rPr>
        <w:t/>
      </w:r>
    </w:p>
    <w:p>
      <w:pPr>
        <w:pStyle w:val="ab"/>
      </w:pPr>
      <w:r>
        <w:t>发言人1 问：根据初步划分结果，主动基金的风格分布情况如何？</w:t>
      </w:r>
    </w:p>
    <w:p>
      <w:r>
        <w:rPr>
          <w:rFonts w:ascii="等线(中文正文)" w:hAnsi="等线(中文正文)" w:cs="等线(中文正文)" w:eastAsia="等线(中文正文)"/>
          <w:b w:val="false"/>
          <w:i w:val="false"/>
          <w:sz w:val="20"/>
        </w:rPr>
        <w:t>发言人1 答：根据阈值0.7的划分，大约有一半左右的主动基金被归为均衡风格，30%左右是偏成长风格，还有10%左右偏向价值风格。这是从超额收益回归的角度观察到的划分结果。</w:t>
      </w:r>
    </w:p>
    <w:p>
      <w:r>
        <w:rPr>
          <w:rFonts w:ascii="等线(中文正文)" w:hAnsi="等线(中文正文)" w:cs="等线(中文正文)" w:eastAsia="等线(中文正文)"/>
          <w:b w:val="false"/>
          <w:i w:val="false"/>
          <w:sz w:val="20"/>
        </w:rPr>
        <w:t/>
      </w:r>
    </w:p>
    <w:p>
      <w:pPr>
        <w:pStyle w:val="ab"/>
      </w:pPr>
      <w:r>
        <w:t>发言人1 问：成长、价值和均衡风格基金池之间的收益相关性如何变化？</w:t>
      </w:r>
    </w:p>
    <w:p>
      <w:r>
        <w:rPr>
          <w:rFonts w:ascii="等线(中文正文)" w:hAnsi="等线(中文正文)" w:cs="等线(中文正文)" w:eastAsia="等线(中文正文)"/>
          <w:b w:val="false"/>
          <w:i w:val="false"/>
          <w:sz w:val="20"/>
        </w:rPr>
        <w:t>发言人1 答：成长与价值组合之间几乎完全负相关，而成长与均衡、价值与均衡组合的相关性则呈现负相关变化。特别是在24年下半年以来，随着成长行情的发展，成长与均衡之间的相关性有所提高，而价值与均衡的相关性则显著降低。</w:t>
      </w:r>
    </w:p>
    <w:p>
      <w:r>
        <w:rPr>
          <w:rFonts w:ascii="等线(中文正文)" w:hAnsi="等线(中文正文)" w:cs="等线(中文正文)" w:eastAsia="等线(中文正文)"/>
          <w:b w:val="false"/>
          <w:i w:val="false"/>
          <w:sz w:val="20"/>
        </w:rPr>
        <w:t/>
      </w:r>
    </w:p>
    <w:p>
      <w:pPr>
        <w:pStyle w:val="ab"/>
      </w:pPr>
      <w:r>
        <w:t>发言人1 问：基于风格划分，如何构建成长多策略组合并评估其表现？</w:t>
      </w:r>
    </w:p>
    <w:p>
      <w:r>
        <w:rPr>
          <w:rFonts w:ascii="等线(中文正文)" w:hAnsi="等线(中文正文)" w:cs="等线(中文正文)" w:eastAsia="等线(中文正文)"/>
          <w:b w:val="false"/>
          <w:i w:val="false"/>
          <w:sz w:val="20"/>
        </w:rPr>
        <w:t>发言人1 答：成长多策略组合构建时考虑了基金自身的动量、持仓股特征以及分析师预期和利润率等因子化指标。我们每年14 70月底进行调仓回测，选择等权打分最高的前20个持仓规模大于一亿的基金。长期来看，该组合实现了稳定的超额收益增长，尤其在成长风格占优的年份表现弹性较高，且相对国证成长指数的超额稳定性较强。</w:t>
      </w:r>
    </w:p>
    <w:p>
      <w:r>
        <w:rPr>
          <w:rFonts w:ascii="等线(中文正文)" w:hAnsi="等线(中文正文)" w:cs="等线(中文正文)" w:eastAsia="等线(中文正文)"/>
          <w:b w:val="false"/>
          <w:i w:val="false"/>
          <w:sz w:val="20"/>
        </w:rPr>
        <w:t/>
      </w:r>
    </w:p>
    <w:p>
      <w:pPr>
        <w:pStyle w:val="ab"/>
      </w:pPr>
      <w:r>
        <w:t>发言人1 问：对于价值组合，你们如何避免“价值陷阱”并选取合适的基金？</w:t>
      </w:r>
    </w:p>
    <w:p>
      <w:r>
        <w:rPr>
          <w:rFonts w:ascii="等线(中文正文)" w:hAnsi="等线(中文正文)" w:cs="等线(中文正文)" w:eastAsia="等线(中文正文)"/>
          <w:b w:val="false"/>
          <w:i w:val="false"/>
          <w:sz w:val="20"/>
        </w:rPr>
        <w:t>发言人1 答：在构建价值组合时，我们关注持仓的预期净利润率，以避免购买持有大量价值陷阱股的基金。每期我们会选取DPP值较高且预期净利润率相对较高的前十个基金构建组合。这种价值组合的特点是波动率较低，能够保持相对稳定的绝对收益，尤其在21至24年间表现明显，即使面对市场风格切换和抱团行情，也不会出现大的回撤。</w:t>
      </w:r>
    </w:p>
    <w:p>
      <w:r>
        <w:rPr>
          <w:rFonts w:ascii="等线(中文正文)" w:hAnsi="等线(中文正文)" w:cs="等线(中文正文)" w:eastAsia="等线(中文正文)"/>
          <w:b w:val="false"/>
          <w:i w:val="false"/>
          <w:sz w:val="20"/>
        </w:rPr>
        <w:t/>
      </w:r>
    </w:p>
    <w:p>
      <w:pPr>
        <w:pStyle w:val="ab"/>
      </w:pPr>
      <w:r>
        <w:t>发言人1 问：均衡类策略在构建时存在哪些挑战？</w:t>
      </w:r>
    </w:p>
    <w:p>
      <w:r>
        <w:rPr>
          <w:rFonts w:ascii="等线(中文正文)" w:hAnsi="等线(中文正文)" w:cs="等线(中文正文)" w:eastAsia="等线(中文正文)"/>
          <w:b w:val="false"/>
          <w:i w:val="false"/>
          <w:sz w:val="20"/>
        </w:rPr>
        <w:t>发言人1 答：均衡类策略的构建面临的主要挑战在于所涵盖的基金类型复杂，包括行业轮动、gap和真均衡等不同风格，这使得很难通过统一的几个因子架构进行有效筛选。</w:t>
      </w:r>
    </w:p>
    <w:p>
      <w:r>
        <w:rPr>
          <w:rFonts w:ascii="等线(中文正文)" w:hAnsi="等线(中文正文)" w:cs="等线(中文正文)" w:eastAsia="等线(中文正文)"/>
          <w:b w:val="false"/>
          <w:i w:val="false"/>
          <w:sz w:val="20"/>
        </w:rPr>
        <w:t/>
      </w:r>
    </w:p>
    <w:p>
      <w:pPr>
        <w:pStyle w:val="ab"/>
      </w:pPr>
      <w:r>
        <w:t>发言人1 问：均衡多策略组合是如何构建的？将三个风格（成长、价值、均衡）合成一个多策略组合需要满足哪些条件？</w:t>
      </w:r>
    </w:p>
    <w:p>
      <w:r>
        <w:rPr>
          <w:rFonts w:ascii="等线(中文正文)" w:hAnsi="等线(中文正文)" w:cs="等线(中文正文)" w:eastAsia="等线(中文正文)"/>
          <w:b w:val="false"/>
          <w:i w:val="false"/>
          <w:sz w:val="20"/>
        </w:rPr>
        <w:t>发言人1 答：我们选择了团队长期跟踪的PPLE组合作为替代，该组合长期来看成长和价值风格暴露不明显，并且具有风格轮动的效果。在选择基金时，我们选取了最近12个月超额收益均值比标准差最高的前十只基金构建等权组合，该组合相对于偏股基金指数的历史胜率较高，并且今年8月底也取得了正的超额收益。首先，每个策略至少要能长期跑赢基准，例如885001基准；其次，各策略之间的相关性不能过高以避免样本贡献性问题。通过分析发现，成长与价值、均衡之间的相关性在大部分时期较低，满足了这个条件。</w:t>
      </w:r>
    </w:p>
    <w:p>
      <w:r>
        <w:rPr>
          <w:rFonts w:ascii="等线(中文正文)" w:hAnsi="等线(中文正文)" w:cs="等线(中文正文)" w:eastAsia="等线(中文正文)"/>
          <w:b w:val="false"/>
          <w:i w:val="false"/>
          <w:sz w:val="20"/>
        </w:rPr>
        <w:t/>
      </w:r>
    </w:p>
    <w:p>
      <w:pPr>
        <w:pStyle w:val="ab"/>
      </w:pPr>
      <w:r>
        <w:t>发言人1 问：如何应用不同基准下的分域组合策略？</w:t>
      </w:r>
    </w:p>
    <w:p>
      <w:r>
        <w:rPr>
          <w:rFonts w:ascii="等线(中文正文)" w:hAnsi="等线(中文正文)" w:cs="等线(中文正文)" w:eastAsia="等线(中文正文)"/>
          <w:b w:val="false"/>
          <w:i w:val="false"/>
          <w:sz w:val="20"/>
        </w:rPr>
        <w:t>发言人1 答：应用时有两种方式：一是跟踪指数风格，根据指数当期的成长、价值和均衡风格占比调整组合配置比例；二是采用风格轮动模式，利用风险评价模型为三个组合分配权重。</w:t>
      </w:r>
    </w:p>
    <w:p>
      <w:r>
        <w:rPr>
          <w:rFonts w:ascii="等线(中文正文)" w:hAnsi="等线(中文正文)" w:cs="等线(中文正文)" w:eastAsia="等线(中文正文)"/>
          <w:b w:val="false"/>
          <w:i w:val="false"/>
          <w:sz w:val="20"/>
        </w:rPr>
        <w:t/>
      </w:r>
    </w:p>
    <w:p>
      <w:pPr>
        <w:pStyle w:val="ab"/>
      </w:pPr>
      <w:r>
        <w:t>发言人1 问：跟踪指数风格的具体实现方法是什么？</w:t>
      </w:r>
    </w:p>
    <w:p>
      <w:r>
        <w:rPr>
          <w:rFonts w:ascii="等线(中文正文)" w:hAnsi="等线(中文正文)" w:cs="等线(中文正文)" w:eastAsia="等线(中文正文)"/>
          <w:b w:val="false"/>
          <w:i w:val="false"/>
          <w:sz w:val="20"/>
        </w:rPr>
        <w:t>发言人1 答：以885001或中证800指数为例，通过判断指数成分基金中成长、价值和均衡风格的比例，映射到我们构建的组合配置上，从而实现赚取风格上的阿尔法收益。</w:t>
      </w:r>
    </w:p>
    <w:p>
      <w:r>
        <w:rPr>
          <w:rFonts w:ascii="等线(中文正文)" w:hAnsi="等线(中文正文)" w:cs="等线(中文正文)" w:eastAsia="等线(中文正文)"/>
          <w:b w:val="false"/>
          <w:i w:val="false"/>
          <w:sz w:val="20"/>
        </w:rPr>
        <w:t/>
      </w:r>
    </w:p>
    <w:p>
      <w:pPr>
        <w:pStyle w:val="ab"/>
      </w:pPr>
      <w:r>
        <w:t>发言人1 问：风险评价模型分配权重的方式有何特点？</w:t>
      </w:r>
    </w:p>
    <w:p>
      <w:r>
        <w:rPr>
          <w:rFonts w:ascii="等线(中文正文)" w:hAnsi="等线(中文正文)" w:cs="等线(中文正文)" w:eastAsia="等线(中文正文)"/>
          <w:b w:val="false"/>
          <w:i w:val="false"/>
          <w:sz w:val="20"/>
        </w:rPr>
        <w:t>发言人1 答：风险评价模型基于过去一年的波动率和协方差计算组合占比，通常会导致价值组合占比更高，因为其波动较低。这种模式能在市场大幅波动时降低组合的绝对收益，但在牛市年份可能因对成长组合配置较低而超额收益不明显。</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2026-08-21T01:16:23Z</dcterms:created>
  <dc:creator>Apache POI</dc:creator>
</cp:coreProperties>
</file>