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战胜偏股基金指数：构建高锐度多策略FOF组合 260819_原文</w:t>
      </w:r>
    </w:p>
    <w:p>
      <w:pPr>
        <w:jc w:val="center"/>
      </w:pPr>
      <w:r>
        <w:rPr>
          <w:rFonts w:ascii="等线(中文正文)" w:hAnsi="等线(中文正文)" w:cs="等线(中文正文)" w:eastAsia="等线(中文正文)"/>
          <w:b w:val="false"/>
          <w:i w:val="false"/>
          <w:sz w:val="20"/>
        </w:rPr>
        <w:t>2026年08月21日 09:14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国联民生金融工程战胜偏股基金指数，构建高锐度多策略fof组合。目前所有参会者均处于静音状态，下面开始播报声明。根据证券期货投资者适当性管理办法，本次电话会议仅服务于国联民生证券研究所白名单客户。本次会议在任何情形下都不构成对会议参加者的投资建议，相关人员应自主作出投资决策，并自行承担投资风险。国联、民生证券不对任何人因使用会议内容而引致的任何损失承担任何责任。未经国联、民生证券事先书面许可，任何机构或个人不得以任何形式复制、刊载、转载、转发、引用本次会议内容，否则，由此造成的一切后果及法律责任由该机构或个人承担，本公司保留追究其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00:55</w:t>
      </w:r>
    </w:p>
    <w:p>
      <w:r>
        <w:rPr>
          <w:rFonts w:ascii="等线(中文正文)" w:hAnsi="等线(中文正文)" w:cs="等线(中文正文)" w:eastAsia="等线(中文正文)"/>
          <w:b w:val="false"/>
          <w:i w:val="false"/>
          <w:sz w:val="20"/>
        </w:rPr>
        <w:t>好的，各位领导晚上好，我是国联民生金工总关舒丹。我们今天介绍的这篇报告就是我们通过构建高密度多策略fof组合，然后去目标是战胜偏股基金指数。主要是包括四个部分。首先的话我们其实是论证了一下为什么要构建这种高密度的这种基金池。然后第二部分的话，我们其实是从这种矛盾扩散的思路，去对基金进行了一个风格的划分。在风格划分的基础上，我们去做风格下的这种分月的增强组合。第三个部分的话就是我们根据第二部分的这种分域增强组合。在这个基础上我们在不同基准下去做这样的一个组合的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后面就是总结和风险提示。首先我们先来看第一个部分，就是我们这篇报告的一个写作的启发。其实主要就是两点，第一点的话就是公募FOF其实整体的持仓相似度还是比较高的。如果我们去看公fof的全持仓的话，大家偏股fof里面对于主动权益型基金其实持仓的集中度是非常高的。热门的基金是大家集中性持有。而且如果我们从这些偏股FOF的日度超额收益的相关性来看的话，大家其实整体上彼此之间相关性会相对来说比较高，就是策略之间的差异会相对来说弱一点。这样的话就会导致我们产品相对来说阿尔法比较难去获得，这是一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02:30</w:t>
      </w:r>
    </w:p>
    <w:p>
      <w:r>
        <w:rPr>
          <w:rFonts w:ascii="等线(中文正文)" w:hAnsi="等线(中文正文)" w:cs="等线(中文正文)" w:eastAsia="等线(中文正文)"/>
          <w:b w:val="false"/>
          <w:i w:val="false"/>
          <w:sz w:val="20"/>
        </w:rPr>
        <w:t>另一个方面的话就是我们团队之前长期跟踪了六个这种基金池，都是季度调仓，然后相对来说会偏风格属性一点。但是这六个基金池我们跟踪下来会有一个问题，就是他们虽然能够长期战胜偏股基金指数，但是其实超额的稳定性，包括策略和策略之间的差异性和落地的这个方面，其实还是有比较明显的比较大的改进空间的。这个其实主要体现在策略和策略之间的这种相关性上。比如说我们可以看策略两两之间的这个相关系数的话。其中像核心资产，因为我们当时其实是找了一些相对来说偏龙头或者是商业模式比较好的这些个股，然后去看哪些基金相对来说投资这类核心资产的票相对占比比较高。然后像长期成长的话，我们其实是希望这些基金他买的这些行业都是属于过去五年或者十年复合净利润增速能够保持在10%到15%的这样的一个水平之上的这些行业。这样的话就会导致这两个组合其实历史上超额收益的相关性就会比较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然后另外的话，像新兴成长和周期成长这两个成长类型。我们当时分开的想法，其实主要是因为我们想根据这个基金它所投资行业目前的一个渗透率之间的差异。比如说他买的都是渗透率比较低的，然后未来空间比较广的，市场预期也比较强。那么我们就希望它是就希望认为它是新兴成长的这类基金。如果他是买这种行业渗透率已经比较高，但是在这种高渗透的行业里面去选一些成长股。那么我们就希望说这类基金可能是偏周期成长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04:20</w:t>
      </w:r>
    </w:p>
    <w:p>
      <w:r>
        <w:rPr>
          <w:rFonts w:ascii="等线(中文正文)" w:hAnsi="等线(中文正文)" w:cs="等线(中文正文)" w:eastAsia="等线(中文正文)"/>
          <w:b w:val="false"/>
          <w:i w:val="false"/>
          <w:sz w:val="20"/>
        </w:rPr>
        <w:t>但是他们两个之间的差异其实是会在比如说市场上有非常非常明显的这种从0到1的机会。比如说像1920年的这种新能源，或者是二三年以来的这种ai，有这种机会的时候，他们两个之间的收益的相关性会相对来说比较低一点。但是其实像中间二三年市场上没有这样的领先性的机会的话，他们两个之间其实很难去做区分。所以这个也是结合了我们团队之前一些已有基金组合的一些问题。我们其实整体上去做了一个改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05:02</w:t>
      </w:r>
    </w:p>
    <w:p>
      <w:r>
        <w:rPr>
          <w:rFonts w:ascii="等线(中文正文)" w:hAnsi="等线(中文正文)" w:cs="等线(中文正文)" w:eastAsia="等线(中文正文)"/>
          <w:b w:val="false"/>
          <w:i w:val="false"/>
          <w:sz w:val="20"/>
        </w:rPr>
        <w:t>这篇报告我们其实整体的思路的话就是我们先去确定一个锚定池。这个锚定池是我们去找每一个风格下面，我们先认为这个风格最明显的一个特点。然后通过这个最明显的特点，我们去找每个风格下，比如说最符合这个风格定义的50个或者100个基金。这个毛电池我们也是会每个季度根据这个基金最新披露的季报去做一个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05:30</w:t>
      </w:r>
    </w:p>
    <w:p>
      <w:r>
        <w:rPr>
          <w:rFonts w:ascii="等线(中文正文)" w:hAnsi="等线(中文正文)" w:cs="等线(中文正文)" w:eastAsia="等线(中文正文)"/>
          <w:b w:val="false"/>
          <w:i w:val="false"/>
          <w:sz w:val="20"/>
        </w:rPr>
        <w:t>在这个锚电池基础上的话，我们其实是采用这个毛电池里面基金的基金的一个超额收益，去对其他基金最近一段时间的超额收益去做一个回归的拟合。就是想看一下其他基金它最近一段时间超额收益就是有百分之多少，比如说能被A风格解释，有百分之多少能被B风格解释。那这样的话根据这个回归结果，我们每个季度末去给每个基金一个这种风格的划分。在这个划分的基础上，我们在不同的风格域内去做这种多因子的增强。我们得到了这个分风格的增强组合之后，我们合并的时候其实主要是锚定指数，我们主要是两种方法，一种是跟着指数的这种风格配置，不去做贝塔的判断。或者是比如说我们放一些这种风格配置的模型，这个是我们整体的一个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第二部分其实我们主要就是看一下这种风格的界定划分，以及分风格下的这个增强组合的构建。首先的话就是矛盾扩散的这种划分。这里其实我们先去选择了一个成长一个价值的锚定值，这里其实是我们自己的一个人为的定义。因为我们会觉得如果是偏价值的这种基金的话，那我们会希望他基金经理管理以来，以及最近一年他持仓个股在PB和PPR因子上暴露至少都是正的。而且是希望他最近一年平均那个PB982里面value这个暴露是排在前50的。就是我们去找相对来说最低估的，而且我们剔掉了一些可能。请关注公众号思维纪要社，更多纪要请加V西安20210130。如果他只是低估，但是盈利不太好的这种持仓也踢掉了，那这样的话我们就是每年14 70月底都可以根据这样的一个标准去构建一个价值偏价值基金的一个锚点。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07:37</w:t>
      </w:r>
    </w:p>
    <w:p>
      <w:r>
        <w:rPr>
          <w:rFonts w:ascii="等线(中文正文)" w:hAnsi="等线(中文正文)" w:cs="等线(中文正文)" w:eastAsia="等线(中文正文)"/>
          <w:b w:val="false"/>
          <w:i w:val="false"/>
          <w:sz w:val="20"/>
        </w:rPr>
        <w:t>是那么成长的话其实思路也是差不多的。我们至少先要求他管理以来，一直最近一年，它持仓股里面就是包里面成长因子暴露是至少都排在前3分之1。在这个基础上的话，因为我们还是希望它在成长上锐度更高，然后属于市场预期持仓，市场预期更强的这种。所以我们希望他的持仓最近一年的持仓，对于我们之前构建的这种新兴成长和周期成长的股票池，持仓占比是至少排在前前100位。这样的话其实我们是每年一次70月底就是分别构建了一个我们认为当期最价值和当期最成长的一个股票的锚，就是基金的锚点是我们其实可以根据这个基金的锚点，是类似于捏合成一个成长基金和价值基金的，这样的一个锚点指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08:34</w:t>
      </w:r>
    </w:p>
    <w:p>
      <w:r>
        <w:rPr>
          <w:rFonts w:ascii="等线(中文正文)" w:hAnsi="等线(中文正文)" w:cs="等线(中文正文)" w:eastAsia="等线(中文正文)"/>
          <w:b w:val="false"/>
          <w:i w:val="false"/>
          <w:sz w:val="20"/>
        </w:rPr>
        <w:t>第三步的话，其实我们就是根据我们刚刚的这个锚点值的构建，我们对其他没有进入锚点值的基金去做一个风格的划分。在这里划分的时候，其实我们是把其他某一支基金被解释变量。就是其他某一支基金过去一年它相对于偏股型指数的日度的超额收益做被解释变量。解释变量X1和X2，那就分别是我们刚刚构建的这个价值和成长基金锚点池的一个拟合的拟合的滚动。过去一年相对于偏股基金指数的日度收益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09:10</w:t>
      </w:r>
    </w:p>
    <w:p>
      <w:r>
        <w:rPr>
          <w:rFonts w:ascii="等线(中文正文)" w:hAnsi="等线(中文正文)" w:cs="等线(中文正文)" w:eastAsia="等线(中文正文)"/>
          <w:b w:val="false"/>
          <w:i w:val="false"/>
          <w:sz w:val="20"/>
        </w:rPr>
        <w:t>这里其实我们做了一个系数的要求，就是我们希望这两个回归系数相加的一，然后都大于零小于一。其实是想看一下，其他某一支基金，它过去一年里面它的超额收益率有百分之多少能够被成长解释，有百分之多少能够被价值解释。根据这样的一个回归结果的话，如果我们做了一个阈值的划分，就是第四步。如果他某一个系数当期是超过0.7，那么我们就认为它当期是偏成长或者偏价值的这种风格。当然这个回归其实我们也是每年14 70月底，就是滚动回看过去一年去做的这样的一个回归。做完这一步的话，其实我们就是每年14 70月底都会给每一个基金当起一个风格的这种标签。如果他两个系数都小于0.7的话，那么我们就认为它当期是均衡。这个是我们划分的一个整体的思路。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10:08</w:t>
      </w:r>
    </w:p>
    <w:p>
      <w:r>
        <w:rPr>
          <w:rFonts w:ascii="等线(中文正文)" w:hAnsi="等线(中文正文)" w:cs="等线(中文正文)" w:eastAsia="等线(中文正文)"/>
          <w:b w:val="false"/>
          <w:i w:val="false"/>
          <w:sz w:val="20"/>
        </w:rPr>
        <w:t>但是在这里我们稍微做了一点点调整，就是我们刚刚回归的时候是滚动过去一年。但是它会有一个问题，就是滚动过去一年的时间里面，有一些交易日它可能成长和价值是同涨或者同跌的那这种交易日的话，它放到我们回归里面，它相对来说就是比较无效的这种样本，可能会影响我们回归后面的R方和。和那个回归的质量。所以我们这里稍微做了一步修改。就是我们去实际回归的时候，我们只考虑成长和价值。日度分化最明显的就是日度收益差异最大的前30%的交易是去做这样的一个回归。这样的话其实我们的回归样本它里面成长和价值的解释这两个解释变量，它的收益分化会更加明显一些。然后相对来说解释力度会更强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11:04</w:t>
      </w:r>
    </w:p>
    <w:p>
      <w:r>
        <w:rPr>
          <w:rFonts w:ascii="等线(中文正文)" w:hAnsi="等线(中文正文)" w:cs="等线(中文正文)" w:eastAsia="等线(中文正文)"/>
          <w:b w:val="false"/>
          <w:i w:val="false"/>
          <w:sz w:val="20"/>
        </w:rPr>
        <w:t>根据我们刚刚的这样的一个划分结果，其实我们可以先初步看一下所有主动基金他每一期的一个数量的分布。因为我们选择那个阈值是0.7，相对来说还是一个比较高的阈值。所以我们划分出来的话可能有一半左右都是均衡的。就是它没有没有纳入到这样的一个0.7以上的范围之内。然后可能有30%左右是偏成长，然后有10%几是相对来说偏价值的。这样是我们如果纯从超额收益的角超额收益回归的角度来看这样的一个划分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11:40</w:t>
      </w:r>
    </w:p>
    <w:p>
      <w:r>
        <w:rPr>
          <w:rFonts w:ascii="等线(中文正文)" w:hAnsi="等线(中文正文)" w:cs="等线(中文正文)" w:eastAsia="等线(中文正文)"/>
          <w:b w:val="false"/>
          <w:i w:val="false"/>
          <w:sz w:val="20"/>
        </w:rPr>
        <w:t>下面右面这个图的话，其实我们是看了一下这个初步划分之后，就是成长价值和均衡这三个基金池量量之间的一个收益的相关性的情况。这里其实我们可以看到成长和价值这两个组合之间肯定是几乎完全负相关。然后乘和均衡这两个这两类其实相关性也基本都是负的。但是像尤其是24年年底以来，就是这一波成长行情以来的话，相对来说成长和均衡他们俩之间的相关性会有所提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12:17</w:t>
      </w:r>
    </w:p>
    <w:p>
      <w:r>
        <w:rPr>
          <w:rFonts w:ascii="等线(中文正文)" w:hAnsi="等线(中文正文)" w:cs="等线(中文正文)" w:eastAsia="等线(中文正文)"/>
          <w:b w:val="false"/>
          <w:i w:val="false"/>
          <w:sz w:val="20"/>
        </w:rPr>
        <w:t>相对来说相关性有点高的，其实是价值和均衡这两类。因为均衡这类基金其实我们从它这个相关性的变化也可以看出，就是19到21年市场偏成长的时候，均衡和价值的相关性就会低一点。然后像222到24年，就市场相对来说偏价值的时候，均衡类的基金和价值的相关性就会高一点。然后24年下半年以来，均衡和价值这类基金的相关性义务明显降低了。其实主要就是因为均衡基金里面有很多是这种偏风格行业轮动，或者是纯均衡配置，也有做这种偏轮动的，里面相对来说比较杂一点，所以就会有这样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13:08</w:t>
      </w:r>
    </w:p>
    <w:p>
      <w:r>
        <w:rPr>
          <w:rFonts w:ascii="等线(中文正文)" w:hAnsi="等线(中文正文)" w:cs="等线(中文正文)" w:eastAsia="等线(中文正文)"/>
          <w:b w:val="false"/>
          <w:i w:val="false"/>
          <w:sz w:val="20"/>
        </w:rPr>
        <w:t>在这个风格划分的基础上，我们其实想的主要就是在每个风格内去做这样的一个非浴增强的组合。首先我们先来看的是这个成长的多策略组合。成长这个多策略组合其实我们当时去做回测的时候，这主要是考虑了几个方面。一个是基金它自身的一些动量和动量拆分。然后第二类的话就是基金持仓股的一些特征，以及基金它本身收益之外的一些可以因子化的一些特征指标。我们当时是每年14 70月底去做调仓的一个回撤，回撤下来效果比较好，而且我是希望这个成长组合它弹性会比较强一点。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最后我们选择了一个是他持仓股的分析师预7，还有一个利润率，主要是考虑它持仓的一个景气度还有盈利情况。因为大家买成长其实大多数可能还是买两个方面，一个就是预期成长，一个是盈利成长。我们其实主要是通过分析师预期和利润率这两个持仓股加权的因子的这个角度去概括了这两个成长的主要的投资方向。我们的要求就是每期选择这两个因子等权打分最高的前20个，然后要求他当时规模大于一个亿就可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14:36</w:t>
      </w:r>
    </w:p>
    <w:p>
      <w:r>
        <w:rPr>
          <w:rFonts w:ascii="等线(中文正文)" w:hAnsi="等线(中文正文)" w:cs="等线(中文正文)" w:eastAsia="等线(中文正文)"/>
          <w:b w:val="false"/>
          <w:i w:val="false"/>
          <w:sz w:val="20"/>
        </w:rPr>
        <w:t>这样的一个组合，其实它长期来看的话，就除了红色的这个是组合的绝对净值变化，下面的都是相对超额的一个净值。比如说它相对于所有成长基金的超额灰色的，这个就相对来说是一个非常稳定平缓的提升。然后相对于偏股基金指数的话，其实波动也相对说不是特越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15:00</w:t>
      </w:r>
    </w:p>
    <w:p>
      <w:r>
        <w:rPr>
          <w:rFonts w:ascii="等线(中文正文)" w:hAnsi="等线(中文正文)" w:cs="等线(中文正文)" w:eastAsia="等线(中文正文)"/>
          <w:b w:val="false"/>
          <w:i w:val="false"/>
          <w:sz w:val="20"/>
        </w:rPr>
        <w:t>右面的话是他每年的表现，然后相对于偏股基金指数，其实是18年稍微有一点点跑输。然后22年的话差额确实不是特别明显，因为22年这种成长风格确实不是特别占优。其他年份相对来说超额都会弹性还是比较高的，尤其是在这种成长占优的年份里面。另外的话相对国证成长，它的超额其实稳定性会更强一些。因为像这种一八然后2二三年国证成长指数也相对来说表现会弱一些。这个是成长的多策略组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15:42</w:t>
      </w:r>
    </w:p>
    <w:p>
      <w:r>
        <w:rPr>
          <w:rFonts w:ascii="等线(中文正文)" w:hAnsi="等线(中文正文)" w:cs="等线(中文正文)" w:eastAsia="等线(中文正文)"/>
          <w:b w:val="false"/>
          <w:i w:val="false"/>
          <w:sz w:val="20"/>
        </w:rPr>
        <w:t>然后价值这面价价值这边的话，其实我们主要是考虑了它持仓的PPS暴露。但是如果我们纯看DPP的话，可能会遇到那种价值陷阱的问题。所以我们在这个DPP的基础上，我们要求他持仓预期净利润率相对来说比较高。这个确实主要是为了避免买到那种持仓很多价值陷阱股的这这些基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16:09</w:t>
      </w:r>
    </w:p>
    <w:p>
      <w:r>
        <w:rPr>
          <w:rFonts w:ascii="等线(中文正文)" w:hAnsi="等线(中文正文)" w:cs="等线(中文正文)" w:eastAsia="等线(中文正文)"/>
          <w:b w:val="false"/>
          <w:i w:val="false"/>
          <w:sz w:val="20"/>
        </w:rPr>
        <w:t>那么我们这里就是每期去取这个因子比较高的前十个，但是价值的这个组合请关注公众号思维纪要社，更多纪要请加V西安20210130的话，它相对于偏股型指数，其实主要的超额还是集中在像21到24年。它是属于这种偏更偏绝对收益的一个结果。比如说像22 2324年，其实整体都是能够包括今年以来也都是能够保持一个整体一个绝对收益的表现。哪怕是市场这种风格切换，或者是有抱团的行情下，相对来说也不会有非常明显的这种大的回撤。这个是价值组合的一个特点，它是属于波动率比较低的这样的一个组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17:03</w:t>
      </w:r>
    </w:p>
    <w:p>
      <w:r>
        <w:rPr>
          <w:rFonts w:ascii="等线(中文正文)" w:hAnsi="等线(中文正文)" w:cs="等线(中文正文)" w:eastAsia="等线(中文正文)"/>
          <w:b w:val="false"/>
          <w:i w:val="false"/>
          <w:sz w:val="20"/>
        </w:rPr>
        <w:t>最后一个最后一个风格的话就是均衡类的。然后均衡类的其实这个策略我们主要考虑到了之前我们划分里面。因为我们其实是把那个是非成长非价值里面其他的基金我都划到均衡里了。但是均衡里面的基金的话就会导致它所涵盖的类型其实是比较复杂的。就里面会有行业轮动，然后也会有gap，然后也会有真均衡。这样的话就是比较复杂的情况下，我们其实很难通过统一的几个因子的架构去做比较有效的筛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17:38</w:t>
      </w:r>
    </w:p>
    <w:p>
      <w:r>
        <w:rPr>
          <w:rFonts w:ascii="等线(中文正文)" w:hAnsi="等线(中文正文)" w:cs="等线(中文正文)" w:eastAsia="等线(中文正文)"/>
          <w:b w:val="false"/>
          <w:i w:val="false"/>
          <w:sz w:val="20"/>
        </w:rPr>
        <w:t>所以我们对于这个均衡多策略的话，其实主要就是考虑用我们团队之前一直跟踪的这个成长价值PPLE的这个组合去做一个替代。因为这个PPLE组合其实长期来看，它的成长和价值风格暴露都不是特别的明显。然后属其实是属于一个成长和价值偏偏风格轮动的这样的一个，从结果来看是会有一定的风格轮动效果的这样的一个组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18:09</w:t>
      </w:r>
    </w:p>
    <w:p>
      <w:r>
        <w:rPr>
          <w:rFonts w:ascii="等线(中文正文)" w:hAnsi="等线(中文正文)" w:cs="等线(中文正文)" w:eastAsia="等线(中文正文)"/>
          <w:b w:val="false"/>
          <w:i w:val="false"/>
          <w:sz w:val="20"/>
        </w:rPr>
        <w:t>然后我们去选择的时候，就是选择这个基金它最近12个月超额收益的均值比标准差最高的前十只去做的等权组合。这个组合它其实是相对于偏股基金指数历史胜率最高的一个。今年如果截止到8月底的话，也是正的超额收益。这个是这三类就是每个风格下它的增强组合的一个构建方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18:40</w:t>
      </w:r>
    </w:p>
    <w:p>
      <w:r>
        <w:rPr>
          <w:rFonts w:ascii="等线(中文正文)" w:hAnsi="等线(中文正文)" w:cs="等线(中文正文)" w:eastAsia="等线(中文正文)"/>
          <w:b w:val="false"/>
          <w:i w:val="false"/>
          <w:sz w:val="20"/>
        </w:rPr>
        <w:t>这个多策略组合的话，其实如果我们最终想把这三个风格合成一个，那么其实有两个比较重要的条件。第一个是我们每一个策略他至少都长期能跑赢我们的基准。比如说我们拿885001去做基准。那么从其实从长期来看，可能大家有超额的阶段不太一样，但是长期来看都是能跑赢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19:04</w:t>
      </w:r>
    </w:p>
    <w:p>
      <w:r>
        <w:rPr>
          <w:rFonts w:ascii="等线(中文正文)" w:hAnsi="等线(中文正文)" w:cs="等线(中文正文)" w:eastAsia="等线(中文正文)"/>
          <w:b w:val="false"/>
          <w:i w:val="false"/>
          <w:sz w:val="20"/>
        </w:rPr>
        <w:t>然后另外一个比较重要的条件就是策略和策略之间的相关性不能太高。因为相关性高的话就可能会有这种样本的贡献性的问题。所以我们又重新去看了一下我们这个多策略的组合，多策略组合它彼此之间的一个相关性。这样看看起来其实整体来看就是成长和价值他们俩的策略之间也是很明显的负相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19:29</w:t>
      </w:r>
    </w:p>
    <w:p>
      <w:r>
        <w:rPr>
          <w:rFonts w:ascii="等线(中文正文)" w:hAnsi="等线(中文正文)" w:cs="等线(中文正文)" w:eastAsia="等线(中文正文)"/>
          <w:b w:val="false"/>
          <w:i w:val="false"/>
          <w:sz w:val="20"/>
        </w:rPr>
        <w:t>然后成长和均衡的话，其实他们两个相关性比较高的时候，都是成长行情相对来说比较占优的这种阶段。这种阶段里面我们那个PPRE策略，它其实组合的风格也会相对来说向成长倾斜。然后价值其实也是一样的，就是像在22到24年上半年这段时间，我们的PPR策略其实当期整体会向价值倾斜。所以就会导致可能和价值多策略他们相关性会比较高。但是其实平来看基本上都是在0.2以下的，所以这几个策略长期平均的相关性没有并不是很高。在这个基础上，我们其实就可以去做这种不同基准下的分域组合的一个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20:17</w:t>
      </w:r>
    </w:p>
    <w:p>
      <w:r>
        <w:rPr>
          <w:rFonts w:ascii="等线(中文正文)" w:hAnsi="等线(中文正文)" w:cs="等线(中文正文)" w:eastAsia="等线(中文正文)"/>
          <w:b w:val="false"/>
          <w:i w:val="false"/>
          <w:sz w:val="20"/>
        </w:rPr>
        <w:t>这里应用的时候，其实我们主要是有两个方式。第一个方式的话，我们其实可以把这个成长价值均衡这对三个组合就是完全去跟踪指数。跟踪指数的时候，其实我们就先判断这个指数它当期的一个自身的一个风格占比，就这个指数它自己成价值和均衡占比分别是多少。然后我们就把这个比例去放到我们刚刚这个组合的配置比例上。那这样的话其实是我们没有去做风格贝塔上的这样的一个判断，主要是赚风格上的一个阿尔法的收益。然后第二个方式的话，我们就是可能去做这种风格轮动的模式。然后我们这里给出的例子的话就是比如说我们去用风险评价的这种模型，然后去给成长价值和均衡这三个组合去做这样的一个权重。后面我们其实是不对于不同的指数给出了一些例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21:20</w:t>
      </w:r>
    </w:p>
    <w:p>
      <w:r>
        <w:rPr>
          <w:rFonts w:ascii="等线(中文正文)" w:hAnsi="等线(中文正文)" w:cs="等线(中文正文)" w:eastAsia="等线(中文正文)"/>
          <w:b w:val="false"/>
          <w:i w:val="false"/>
          <w:sz w:val="20"/>
        </w:rPr>
        <w:t>假设我们是第一种模式，就是我们是跟踪指数的这样的一个方式。假设我们这里给出的就是885001或者是八百这两个指数。那对于88501来说，我们其实是每次就是14 70月底调仓的时候，我们去判断这个指数，它当。及成长价值和均衡的一个占比。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21:43</w:t>
      </w:r>
    </w:p>
    <w:p>
      <w:r>
        <w:rPr>
          <w:rFonts w:ascii="等线(中文正文)" w:hAnsi="等线(中文正文)" w:cs="等线(中文正文)" w:eastAsia="等线(中文正文)"/>
          <w:b w:val="false"/>
          <w:i w:val="false"/>
          <w:sz w:val="20"/>
        </w:rPr>
        <w:t>那对于88501来说的话，其实我们可以根据我们之前去做主动权益型基金，他当时风格划分回归的那个结果，然后去看88501里面成分基金，它里面有多少基金是当是成长风格，然后有多少基金当期是价值或者是均衡风格。根据这样的一个之前划分出来的结果，其实可以直接映射到885001里面的成分基金上。那给出的它的这个风格占比其实会和我们刚刚看到的那个整体主动权益性资金，大家风格上数量占比会差不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22:23</w:t>
      </w:r>
    </w:p>
    <w:p>
      <w:r>
        <w:rPr>
          <w:rFonts w:ascii="等线(中文正文)" w:hAnsi="等线(中文正文)" w:cs="等线(中文正文)" w:eastAsia="等线(中文正文)"/>
          <w:b w:val="false"/>
          <w:i w:val="false"/>
          <w:sz w:val="20"/>
        </w:rPr>
        <w:t>然后对于中证800的话，其实我们可能需要去做一步穿透。这里穿透我们其实主要是需要看中证800它当期成分股里面就是有百分之多少是属于成当期成长型基金的重仓股。然后有百分之多少是属于当期价值或者是当期均衡型基金的重仓股。根据这样的一个持仓穿透，然后我们对于中证800它每期会得到一个成长价值和均衡的这样的一个风格的配置占比那根据这样的一个每次风格配置占比的话，其实我们可以做从风格层面去跟踪88501或者800的这样的一个超额收益的组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23:07</w:t>
      </w:r>
    </w:p>
    <w:p>
      <w:r>
        <w:rPr>
          <w:rFonts w:ascii="等线(中文正文)" w:hAnsi="等线(中文正文)" w:cs="等线(中文正文)" w:eastAsia="等线(中文正文)"/>
          <w:b w:val="false"/>
          <w:i w:val="false"/>
          <w:sz w:val="20"/>
        </w:rPr>
        <w:t>首先我们看到的是跑88501的这个好，8501的话其实长期来看，我们成长大概是降到30，然后价值是15左右。然后均衡的话可能是占到50到55之间。那这样的一个占比情况，其实它超额收益相对来说胜率是比较高的，而且稳定性会比较强。就除了像2 0221年这种特别明显的有有一定的抱团的行情之外，其实超额收益稳定性还是比较高的。而且我们超额收益的最大回撤也会相对来说相对来说低一些。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23:51</w:t>
      </w:r>
    </w:p>
    <w:p>
      <w:r>
        <w:rPr>
          <w:rFonts w:ascii="等线(中文正文)" w:hAnsi="等线(中文正文)" w:cs="等线(中文正文)" w:eastAsia="等线(中文正文)"/>
          <w:b w:val="false"/>
          <w:i w:val="false"/>
          <w:sz w:val="20"/>
        </w:rPr>
        <w:t>这个是去看跑88001，然后如果是相对800的话，其实历史史上就是跟踪下来的话，只有24年是跑输的。24年跑输的话我们回头去看了一下原因，其实主要是因为我们的组合里面不是特别容易买到银行，银行的占比会比较低。然后24年其实800，它的主要成收益的贡献有很大一部分是来自于银行。这样的话就会导致如果当年风格也对齐的话，其实不是特别容易跑得赢，那其他年份就是除非出现了这种银行领涨的这种时候，其他年份其实超额收益稳定性也还是比较高的。这两个就是如果我们是跟踪指数的这种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24:44</w:t>
      </w:r>
    </w:p>
    <w:p>
      <w:r>
        <w:rPr>
          <w:rFonts w:ascii="等线(中文正文)" w:hAnsi="等线(中文正文)" w:cs="等线(中文正文)" w:eastAsia="等线(中文正文)"/>
          <w:b w:val="false"/>
          <w:i w:val="false"/>
          <w:sz w:val="20"/>
        </w:rPr>
        <w:t>然后第二种模式的话就是我们自己去给一个风格的占比那这里我们采用的比较简单的就是看风险评价。这个风险评价的话其实主要是根据过去一年的波动率和协方差，就成长价值均衡。我们的多策略组合过去是一年的一个协方差矩阵去给的这个组合的占比，这样的话其实就会导致风险评价它出来的效果，就是价值组合占比会相对说更高一点。因为价值组合整体波动会比较低，然后成长组合可能只占到20多，价值组合要占到40左右，然后剩下30，三十多是偏均衡的组合。那这样就会导致牛市的年份里面，其实不太容易跑赢偏股基金指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比如说像20年，还有今年今年以来，包括像去年和21和19年，其实超额也不是特别的明显。这个确实主要是风险评价，它确实能降低组合的波动率。比如说像22和二三年，就是组合的绝对收益其实相对来说不会特别的不会特别的低。然后整体的超额收益最大回撤其实也也是相对来说比较低的。但是可能会牛市的年份里面，会落后的上会会有会有一些会有一些落后，这个是我们这两种模式下我们跟踪下来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26:12</w:t>
      </w:r>
    </w:p>
    <w:p>
      <w:r>
        <w:rPr>
          <w:rFonts w:ascii="等线(中文正文)" w:hAnsi="等线(中文正文)" w:cs="等线(中文正文)" w:eastAsia="等线(中文正文)"/>
          <w:b w:val="false"/>
          <w:i w:val="false"/>
          <w:sz w:val="20"/>
        </w:rPr>
        <w:t>然后风险评价的这个组合的话，我们做了一下穿透。这个组合其实主要是赚行业配置选股和交易的这个收益。它在风格上其实大家平均下来是不太赚钱的。然后行业配置其实就是非常的均衡，然后里面可能周期稍微占比高一点。因为它价值就是价值组合占比会相对来说有点高，就不会说特别偏成长或者是特别偏重于某一个行业。这个是我们整体上做一个总结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26:50</w:t>
      </w:r>
    </w:p>
    <w:p>
      <w:r>
        <w:rPr>
          <w:rFonts w:ascii="等线(中文正文)" w:hAnsi="等线(中文正文)" w:cs="等线(中文正文)" w:eastAsia="等线(中文正文)"/>
          <w:b w:val="false"/>
          <w:i w:val="false"/>
          <w:sz w:val="20"/>
        </w:rPr>
        <w:t>我们这篇报告其实整体的思路就是我们先通过这种矛盾扩散的方式，去对每一个基金每一期它的风格去做一个界定和划分。然后在这个风格界定和划分的基础上，我们在每个风格内去做这种域内的fof增强组合。但是这几个风格增强组合，我们希望它是至少单一策略分别能够长期跑赢偏股基金指数。然后策略和策略之间他们的相关性要比较低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27:24</w:t>
      </w:r>
    </w:p>
    <w:p>
      <w:r>
        <w:rPr>
          <w:rFonts w:ascii="等线(中文正文)" w:hAnsi="等线(中文正文)" w:cs="等线(中文正文)" w:eastAsia="等线(中文正文)"/>
          <w:b w:val="false"/>
          <w:i w:val="false"/>
          <w:sz w:val="20"/>
        </w:rPr>
        <w:t>有这样的一个前提假设之后，我们对于这种分风格的这种分域增强组合，我们最终去合合起来的时候，主要是考虑两种模式。第一种的话就是我们去跟踪指数，就看指数它这个指数它本身在每一个风格上当期的一个整体的占整体的占比情况。那么我们根据这个指数基准指数它自己本身的风格占比，去给我们每一个风格增强策略当期去确定它的比例。这种跟踪指数的模式，它的好处就是相对来说跟踪误差会稍微弱一些。然后比如说在如果是跑88501的话，在市场明显上涨的阶段，会超过更加明显一点。然后在市场下跌的阶段的话，其实也不会出现比较明显的这种相对回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28:21</w:t>
      </w:r>
    </w:p>
    <w:p>
      <w:r>
        <w:rPr>
          <w:rFonts w:ascii="等线(中文正文)" w:hAnsi="等线(中文正文)" w:cs="等线(中文正文)" w:eastAsia="等线(中文正文)"/>
          <w:b w:val="false"/>
          <w:i w:val="false"/>
          <w:sz w:val="20"/>
        </w:rPr>
        <w:t>然后另外一种模式的话就是我们自己去给每一个风格的这种权重。这里我们比较简单的就是采用了风险评价的这种方式。风险评价它其实就是会导致偏价值的这种组合占比会相对来说低一点，会相对来说高一点。价值组合占比高的话，它的好处就是组合的绝对收益相对来说会更加稳健一点。但是可能是在市场整体上涨的时候，它的超额收益就会稍微弱一些。这个是我们这篇报告整体的这样的一个思路和框架。然后以上就是我们今天汇报的所有内容，然后各位领导如果有任何问问题的话，欢迎随时沟通。好，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2026-08-21T01:16:23Z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E6636BB100BBAFBB4581D91E6DDB85144343BE8CC3FDDF1F1A51463F47DFE5BA5ECB9DEC4959EFD4A81B479D2B1F408F5E66D4C31E5B2846591BBC765902CE2CCF3B635</vt:lpwstr>
  </property>
</Properties>
</file>