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总量每周论势 260819_导读</w:t>
      </w:r>
    </w:p>
    <w:p>
      <w:pPr>
        <w:pStyle w:val="a0"/>
        <w:jc w:val="center"/>
      </w:pPr>
      <w:r>
        <w:t>2026年08月21日 09:14</w:t>
      </w:r>
    </w:p>
    <w:p>
      <w:pPr>
        <w:pStyle w:val="a7"/>
      </w:pPr>
      <w:r>
        <w:t>关键词</w:t>
      </w:r>
    </w:p>
    <w:p>
      <w:r>
        <w:rPr>
          <w:rFonts w:ascii="等线(中文正文)" w:hAnsi="等线(中文正文)" w:cs="等线(中文正文)" w:eastAsia="等线(中文正文)"/>
          <w:b w:val="false"/>
          <w:i w:val="false"/>
          <w:sz w:val="20"/>
        </w:rPr>
        <w:t xml:space="preserve">政策底 经济形势 货币政策 流动性充裕 信贷投放 经济增长 宏观政策 访美 外部冲击 内部困难 出口 内需 财政政策 降准降息 利率 央行 隔夜逆回购 流动性管理 价格 交易盘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在金融市场与政策环境的讨论中，市场经历短期调整后，预期政府将推出增量政策以应对经济挑战，凸显政策底与市场底部的重要性。对话深入分析了金融市场多个板块，尤其关注非银板块在成交量变化中的投资机遇。此外，还特别讨论了外汇市场上的汇率波动及其投资策略。整体而言，对话展现了金融市场复杂多变的特征，强调了对政策动向和市场动态进行深度分析的必要性。</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市场调整与增量政策空间解读</w:t>
      </w:r>
    </w:p>
    <w:p>
      <w:r>
        <w:rPr>
          <w:rFonts w:ascii="等线(中文正文)" w:hAnsi="等线(中文正文)" w:cs="等线(中文正文)" w:eastAsia="等线(中文正文)"/>
          <w:b w:val="false"/>
          <w:i w:val="false"/>
          <w:sz w:val="20"/>
        </w:rPr>
        <w:t>对话围绕近期市场调整展开，讨论了政策底的判断、8-9月作为下半年市场行情的关键窗口，以及对外中美关系的波动与内部经济压力的应对策略。提及政治局会议对下半年经济工作的部署，强调货币政策适度宽松、财政政策协同发力，以及资本市场韧性与信心的提升，以稳定经济增长。</w:t>
      </w:r>
    </w:p>
    <w:p>
      <w:r>
        <w:rPr>
          <w:rFonts w:ascii="等线(中文正文)" w:hAnsi="等线(中文正文)" w:cs="等线(中文正文)" w:eastAsia="等线(中文正文)"/>
          <w:b w:val="false"/>
          <w:i w:val="false"/>
          <w:sz w:val="20"/>
        </w:rPr>
        <w:t/>
      </w:r>
    </w:p>
    <w:p>
      <w:pPr>
        <w:pStyle w:val="ab"/>
        <w:numPr>
          <w:numId w:val="2"/>
        </w:numPr>
      </w:pPr>
      <w:r>
        <w:t>07:21 央行多目标政策下的市场预期与微操策略</w:t>
      </w:r>
    </w:p>
    <w:p>
      <w:r>
        <w:rPr>
          <w:rFonts w:ascii="等线(中文正文)" w:hAnsi="等线(中文正文)" w:cs="等线(中文正文)" w:eastAsia="等线(中文正文)"/>
          <w:b w:val="false"/>
          <w:i w:val="false"/>
          <w:sz w:val="20"/>
        </w:rPr>
        <w:t>讨论了央行在多目标政策框架下，如何通过价格和量的微操影响市场预期，特别是在当前宏观环境偏弱、出口强劲及新旧动能转换背景下，央行更倾向于使用隔夜逆回购工具进行流动性管理，而非大幅调整政策利率。未来市场或呈现节奏性微调，重点需观察大行负债存单发行及央行态度。</w:t>
      </w:r>
    </w:p>
    <w:p>
      <w:r>
        <w:rPr>
          <w:rFonts w:ascii="等线(中文正文)" w:hAnsi="等线(中文正文)" w:cs="等线(中文正文)" w:eastAsia="等线(中文正文)"/>
          <w:b w:val="false"/>
          <w:i w:val="false"/>
          <w:sz w:val="20"/>
        </w:rPr>
        <w:t/>
      </w:r>
    </w:p>
    <w:p>
      <w:pPr>
        <w:pStyle w:val="ab"/>
        <w:numPr>
          <w:numId w:val="3"/>
        </w:numPr>
      </w:pPr>
      <w:r>
        <w:t>15:26 美元流动性与A股行业轮动分析及非银市场展望</w:t>
      </w:r>
    </w:p>
    <w:p>
      <w:r>
        <w:rPr>
          <w:rFonts w:ascii="等线(中文正文)" w:hAnsi="等线(中文正文)" w:cs="等线(中文正文)" w:eastAsia="等线(中文正文)"/>
          <w:b w:val="false"/>
          <w:i w:val="false"/>
          <w:sz w:val="20"/>
        </w:rPr>
        <w:t>讨论了美元流动性转为中性偏松状态对全球风险资产的影响，分析了A股资金面变化及行业轮动模型推荐的偏上游资源品和防御属性板块，同时对非银市场指数整理和成交量变化进行了预测。</w:t>
      </w:r>
    </w:p>
    <w:p>
      <w:r>
        <w:rPr>
          <w:rFonts w:ascii="等线(中文正文)" w:hAnsi="等线(中文正文)" w:cs="等线(中文正文)" w:eastAsia="等线(中文正文)"/>
          <w:b w:val="false"/>
          <w:i w:val="false"/>
          <w:sz w:val="20"/>
        </w:rPr>
        <w:t/>
      </w:r>
    </w:p>
    <w:p>
      <w:pPr>
        <w:pStyle w:val="ab"/>
        <w:numPr>
          <w:numId w:val="4"/>
        </w:numPr>
      </w:pPr>
      <w:r>
        <w:t>21:53 非银板块投资逻辑与个股推荐分析</w:t>
      </w:r>
    </w:p>
    <w:p>
      <w:r>
        <w:rPr>
          <w:rFonts w:ascii="等线(中文正文)" w:hAnsi="等线(中文正文)" w:cs="等线(中文正文)" w:eastAsia="等线(中文正文)"/>
          <w:b w:val="false"/>
          <w:i w:val="false"/>
          <w:sz w:val="20"/>
        </w:rPr>
        <w:t>对话深入探讨了非银板块在不同市场环境下的投资逻辑，指出在市场低迷时，非银板块更多体现防御价值，而在市场活跃时，其进攻价值得以凸显。对于个股推荐，保险优于券商，具体排序为国寿、新华、太保、平安，而券商方面则推荐国泰、海通、华泰证券等，基于财富管理和科技趋势下的投行业务优势。</w:t>
      </w:r>
    </w:p>
    <w:p>
      <w:r>
        <w:rPr>
          <w:rFonts w:ascii="等线(中文正文)" w:hAnsi="等线(中文正文)" w:cs="等线(中文正文)" w:eastAsia="等线(中文正文)"/>
          <w:b w:val="false"/>
          <w:i w:val="false"/>
          <w:sz w:val="20"/>
        </w:rPr>
        <w:t/>
      </w:r>
    </w:p>
    <w:p>
      <w:pPr>
        <w:pStyle w:val="a7"/>
      </w:pPr>
      <w:r>
        <w:t>发言总结</w:t>
      </w:r>
    </w:p>
    <w:p>
      <w:pPr>
        <w:pStyle w:val="ab"/>
        <w:numPr>
          <w:numId w:val="5"/>
        </w:numPr>
      </w:pPr>
      <w:r>
        <w:t>发言人1</w:t>
      </w:r>
    </w:p>
    <w:p>
      <w:r>
        <w:rPr>
          <w:rFonts w:ascii="等线(中文正文)" w:hAnsi="等线(中文正文)" w:cs="等线(中文正文)" w:eastAsia="等线(中文正文)"/>
          <w:b w:val="false"/>
          <w:i w:val="false"/>
          <w:sz w:val="20"/>
        </w:rPr>
        <w:t>他首先分析了当前市场的调整情况和投资者的担忧情绪，特别强调政策底设在3800点，预示8、9月份为今年的市场机遇期。他们提及中美关系紧张及美国潜在的制裁对金融市场的潜在影响，同时指出国内经济正通过货币政策的适度宽松、财政政策的积极实施以及房地产市场的调控来应对挑战。他还深入讨论了市场波动、行业轮动现象，强调成交量是关键因素，并对非银板块的投资逻辑及策略提出建议。总体上，他对市场持有乐观态度，鼓励投资者关注市场成交量变化和政策导向。</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问：在当前市场环境下，增量政策空间是否已经打开，以及对今天市场行情的解读是什么？对于接下来的市场走势，特别是3800点作为政策底的看法以及8、9月份的行情展望如何？</w:t>
      </w:r>
    </w:p>
    <w:p>
      <w:r>
        <w:rPr>
          <w:rFonts w:ascii="等线(中文正文)" w:hAnsi="等线(中文正文)" w:cs="等线(中文正文)" w:eastAsia="等线(中文正文)"/>
          <w:b w:val="false"/>
          <w:i w:val="false"/>
          <w:sz w:val="20"/>
        </w:rPr>
        <w:t>发言人1 答：非常荣幸我是吴海达，今天我想分享一下市场情况。近期，由于两天的市场调整，大家对投资市场存在较大担忧。实际上，我们认为下半年增量政策空间正在逐步打开。在7月30日的政治局会议后，国务院全体会议也已召开，对经济形势进行了分析，并对下半年经济工作做了部署。整体来看，下半年我国将坚持统筹国内国际两个大局，统筹发展和安全，有效应对各种外部冲击和内部困难。我们认为3800点是政策底，并预计8、9月份将是今年下半年行情的重要阶段。尽管近期市场出现下跌，但整体上，下半年政策会发力稳增长，包括财政货币政策等方面，尤其是房地产等领域将得到支持。总体判断，市场将围绕稳增长这一主线展开，保持经济韧性和信心，推动市场平稳运行并有望迎来新的行情。</w:t>
      </w:r>
    </w:p>
    <w:p>
      <w:r>
        <w:rPr>
          <w:rFonts w:ascii="等线(中文正文)" w:hAnsi="等线(中文正文)" w:cs="等线(中文正文)" w:eastAsia="等线(中文正文)"/>
          <w:b w:val="false"/>
          <w:i w:val="false"/>
          <w:sz w:val="20"/>
        </w:rPr>
        <w:t/>
      </w:r>
    </w:p>
    <w:p>
      <w:pPr>
        <w:pStyle w:val="ab"/>
      </w:pPr>
      <w:r>
        <w:t>发言人1 问：对于中美关系和下半年的经济形势，您有何看法？</w:t>
      </w:r>
    </w:p>
    <w:p>
      <w:r>
        <w:rPr>
          <w:rFonts w:ascii="等线(中文正文)" w:hAnsi="等线(中文正文)" w:cs="等线(中文正文)" w:eastAsia="等线(中文正文)"/>
          <w:b w:val="false"/>
          <w:i w:val="false"/>
          <w:sz w:val="20"/>
        </w:rPr>
        <w:t>发言人1 答：下半年中美之间可能会有一些波折，尤其是在特朗普秋季访华前，美国可能会对我们采取一些制裁和打压措施，但总体上这些波折是可控的。中美之间除了此次访美之外，后续还有机会进行接触和达成新的成果。同时，由于7月份经济数据显示出口稍有支撑，但内需特别是投资方面压力较大，因此预计相关部委会继续实施适度宽松的货币政策，并落实稳增长目标，通过财政金融协同、重大项目推进等方式稳定经济。</w:t>
      </w:r>
    </w:p>
    <w:p>
      <w:r>
        <w:rPr>
          <w:rFonts w:ascii="等线(中文正文)" w:hAnsi="等线(中文正文)" w:cs="等线(中文正文)" w:eastAsia="等线(中文正文)"/>
          <w:b w:val="false"/>
          <w:i w:val="false"/>
          <w:sz w:val="20"/>
        </w:rPr>
        <w:t/>
      </w:r>
    </w:p>
    <w:p>
      <w:pPr>
        <w:pStyle w:val="ab"/>
      </w:pPr>
      <w:r>
        <w:t>发言人1 问：关于资本市场的稳定运行和政策方向，有哪些关键信息可以分享？</w:t>
      </w:r>
    </w:p>
    <w:p>
      <w:r>
        <w:rPr>
          <w:rFonts w:ascii="等线(中文正文)" w:hAnsi="等线(中文正文)" w:cs="等线(中文正文)" w:eastAsia="等线(中文正文)"/>
          <w:b w:val="false"/>
          <w:i w:val="false"/>
          <w:sz w:val="20"/>
        </w:rPr>
        <w:t>发言人1 答：证监会强调要综合施策，全力维护资本市场平稳运行，推动中长期资金稳步提升入市规模和比例，同时着力防范化解融资平台和房地产相关债券违约风险。这意味着在稳住市场的同时，也将提升资本市场的韧性和信心。</w:t>
      </w:r>
    </w:p>
    <w:p>
      <w:r>
        <w:rPr>
          <w:rFonts w:ascii="等线(中文正文)" w:hAnsi="等线(中文正文)" w:cs="等线(中文正文)" w:eastAsia="等线(中文正文)"/>
          <w:b w:val="false"/>
          <w:i w:val="false"/>
          <w:sz w:val="20"/>
        </w:rPr>
        <w:t/>
      </w:r>
    </w:p>
    <w:p>
      <w:pPr>
        <w:pStyle w:val="ab"/>
      </w:pPr>
      <w:r>
        <w:t>发言人1 问：在当前市场环境下，投资者如何评估接下来央行的态度和操作方向？</w:t>
      </w:r>
    </w:p>
    <w:p>
      <w:r>
        <w:rPr>
          <w:rFonts w:ascii="等线(中文正文)" w:hAnsi="等线(中文正文)" w:cs="等线(中文正文)" w:eastAsia="等线(中文正文)"/>
          <w:b w:val="false"/>
          <w:i w:val="false"/>
          <w:sz w:val="20"/>
        </w:rPr>
        <w:t>发言人1 答：我认为可以从两个维度进行探讨：宏观方向维度和微操维度。从宏观角度看，2023年发债环境、房地产下行以及居民资产负债表受损三期叠加，导致M2增速与社融增速差值略有拉大，政府增速远高于信贷增速。在这个阶段，债市资产化趋势明显，但十年以内品种出现资产荒，而30年期品种并未呈现显著资产荒。政策利率下行，货币先行并配合财政政策，尤其在四季度央行与财政配合紧密。然而，今年银行体系面临的息差压力增大，需要考虑金融体系承接力，尤其是银行存款准备金率的影响，因为我国以银行为核心体系的金融结构与日本、美国不同，且不能向境外寻求资产和资本流动。</w:t>
      </w:r>
    </w:p>
    <w:p>
      <w:r>
        <w:rPr>
          <w:rFonts w:ascii="等线(中文正文)" w:hAnsi="等线(中文正文)" w:cs="等线(中文正文)" w:eastAsia="等线(中文正文)"/>
          <w:b w:val="false"/>
          <w:i w:val="false"/>
          <w:sz w:val="20"/>
        </w:rPr>
        <w:t/>
      </w:r>
    </w:p>
    <w:p>
      <w:pPr>
        <w:pStyle w:val="ab"/>
      </w:pPr>
      <w:r>
        <w:t>发言人1 问：今年央行的货币政策可能会如何调整？</w:t>
      </w:r>
    </w:p>
    <w:p>
      <w:r>
        <w:rPr>
          <w:rFonts w:ascii="等线(中文正文)" w:hAnsi="等线(中文正文)" w:cs="等线(中文正文)" w:eastAsia="等线(中文正文)"/>
          <w:b w:val="false"/>
          <w:i w:val="false"/>
          <w:sz w:val="20"/>
        </w:rPr>
        <w:t>发言人1 答：今年宏观状态下不急于通过大规模财政政策托底，出口延续强劲态势，存量政策工具如专项债和正经工具将被用来稳基础。因此，预计不会有大量增量财政政策预期，除非出现超预期黑天鹅事件。货币政策方面，总量政策如降准降息预期较弱，更多将关注流动性管理的微调操作，如隔夜逆回购等工具的使用。</w:t>
      </w:r>
    </w:p>
    <w:p>
      <w:r>
        <w:rPr>
          <w:rFonts w:ascii="等线(中文正文)" w:hAnsi="等线(中文正文)" w:cs="等线(中文正文)" w:eastAsia="等线(中文正文)"/>
          <w:b w:val="false"/>
          <w:i w:val="false"/>
          <w:sz w:val="20"/>
        </w:rPr>
        <w:t/>
      </w:r>
    </w:p>
    <w:p>
      <w:pPr>
        <w:pStyle w:val="ab"/>
      </w:pPr>
      <w:r>
        <w:t>发言人1 问：隔夜逆回购和7天零投放之间有何关联？</w:t>
      </w:r>
    </w:p>
    <w:p>
      <w:r>
        <w:rPr>
          <w:rFonts w:ascii="等线(中文正文)" w:hAnsi="等线(中文正文)" w:cs="等线(中文正文)" w:eastAsia="等线(中文正文)"/>
          <w:b w:val="false"/>
          <w:i w:val="false"/>
          <w:sz w:val="20"/>
        </w:rPr>
        <w:t>发言人1 答：进入三季度后，央行对二季度超额流动性已显著收敛，资金面紧宽适度，央行无需大量在7天期进行投放。历史经验显示，7天零投放多是对市场过度交易的纠偏。今年央行在进行零投放的同时，给予了隔夜逆回购呵护，这可能意味着对于多种因素的微调而非根本逆转。</w:t>
      </w:r>
    </w:p>
    <w:p>
      <w:r>
        <w:rPr>
          <w:rFonts w:ascii="等线(中文正文)" w:hAnsi="等线(中文正文)" w:cs="等线(中文正文)" w:eastAsia="等线(中文正文)"/>
          <w:b w:val="false"/>
          <w:i w:val="false"/>
          <w:sz w:val="20"/>
        </w:rPr>
        <w:t/>
      </w:r>
    </w:p>
    <w:p>
      <w:pPr>
        <w:pStyle w:val="ab"/>
      </w:pPr>
      <w:r>
        <w:t>发言人1 问：对于未来市场的流动性管理，央行会如何操作？</w:t>
      </w:r>
    </w:p>
    <w:p>
      <w:r>
        <w:rPr>
          <w:rFonts w:ascii="等线(中文正文)" w:hAnsi="等线(中文正文)" w:cs="等线(中文正文)" w:eastAsia="等线(中文正文)"/>
          <w:b w:val="false"/>
          <w:i w:val="false"/>
          <w:sz w:val="20"/>
        </w:rPr>
        <w:t>发言人1 答：未来央行可能会侧重于价格方面的微调，如果价格因素没有系统性抬升，市场将主要经历节奏和微调过程，但向下空间有限。在这种情况下，央行可能会更多地使用隔夜逆回购工具来维护流动性稳定，并快速应对市场变化，避免形成收紧预期。</w:t>
      </w:r>
    </w:p>
    <w:p>
      <w:r>
        <w:rPr>
          <w:rFonts w:ascii="等线(中文正文)" w:hAnsi="等线(中文正文)" w:cs="等线(中文正文)" w:eastAsia="等线(中文正文)"/>
          <w:b w:val="false"/>
          <w:i w:val="false"/>
          <w:sz w:val="20"/>
        </w:rPr>
        <w:t/>
      </w:r>
    </w:p>
    <w:p>
      <w:pPr>
        <w:pStyle w:val="ab"/>
      </w:pPr>
      <w:r>
        <w:t>发言人1 问：对于接下来市场的走势，应该如何配置资产和应对策略？</w:t>
      </w:r>
    </w:p>
    <w:p>
      <w:r>
        <w:rPr>
          <w:rFonts w:ascii="等线(中文正文)" w:hAnsi="等线(中文正文)" w:cs="等线(中文正文)" w:eastAsia="等线(中文正文)"/>
          <w:b w:val="false"/>
          <w:i w:val="false"/>
          <w:sz w:val="20"/>
        </w:rPr>
        <w:t>发言人1 答：根据之前的推演，接下来四个月应保持一定的进攻姿态，同时注意止盈和阶段性踏空的风险。防守上，目前不具备转向的基础，需要密切关注大行负债存单的发行情况以及央行的态度变化来做出相应调整。</w:t>
      </w:r>
    </w:p>
    <w:p>
      <w:r>
        <w:rPr>
          <w:rFonts w:ascii="等线(中文正文)" w:hAnsi="等线(中文正文)" w:cs="等线(中文正文)" w:eastAsia="等线(中文正文)"/>
          <w:b w:val="false"/>
          <w:i w:val="false"/>
          <w:sz w:val="20"/>
        </w:rPr>
        <w:t/>
      </w:r>
    </w:p>
    <w:p>
      <w:pPr>
        <w:pStyle w:val="ab"/>
      </w:pPr>
      <w:r>
        <w:t>发言人1 问：关于美元流动性对全球风险资产的影响，您怎么看？</w:t>
      </w:r>
    </w:p>
    <w:p>
      <w:r>
        <w:rPr>
          <w:rFonts w:ascii="等线(中文正文)" w:hAnsi="等线(中文正文)" w:cs="等线(中文正文)" w:eastAsia="等线(中文正文)"/>
          <w:b w:val="false"/>
          <w:i w:val="false"/>
          <w:sz w:val="20"/>
        </w:rPr>
        <w:t>发言人1 答：我们认为美元流动性从之前收紧状态转变为中性偏松状态，这一转变至少会持续一个季度以上。从最新的数据和各类资产表现来看，全球风险偏好提升，美元流动性指标保持中性偏松态势。这对于全球风险资产走势具有重要指导意义。</w:t>
      </w:r>
    </w:p>
    <w:p>
      <w:r>
        <w:rPr>
          <w:rFonts w:ascii="等线(中文正文)" w:hAnsi="等线(中文正文)" w:cs="等线(中文正文)" w:eastAsia="等线(中文正文)"/>
          <w:b w:val="false"/>
          <w:i w:val="false"/>
          <w:sz w:val="20"/>
        </w:rPr>
        <w:t/>
      </w:r>
    </w:p>
    <w:p>
      <w:pPr>
        <w:pStyle w:val="ab"/>
      </w:pPr>
      <w:r>
        <w:t>发言人1 问：第二个指标代表什么？花型风险偏好指数的变化是什么？</w:t>
      </w:r>
    </w:p>
    <w:p>
      <w:r>
        <w:rPr>
          <w:rFonts w:ascii="等线(中文正文)" w:hAnsi="等线(中文正文)" w:cs="等线(中文正文)" w:eastAsia="等线(中文正文)"/>
          <w:b w:val="false"/>
          <w:i w:val="false"/>
          <w:sz w:val="20"/>
        </w:rPr>
        <w:t>发言人1 答：第二个指标代表外资对中国资产风险偏好的变化，即主权系列利差重新走低，这预示着外资流入A股的概率和体量可能会增加。花型风险偏好指数出现空翻多的变化，整体上对于国内权益资产而言，短期的资金面信号趋于积极。</w:t>
      </w:r>
    </w:p>
    <w:p>
      <w:r>
        <w:rPr>
          <w:rFonts w:ascii="等线(中文正文)" w:hAnsi="等线(中文正文)" w:cs="等线(中文正文)" w:eastAsia="等线(中文正文)"/>
          <w:b w:val="false"/>
          <w:i w:val="false"/>
          <w:sz w:val="20"/>
        </w:rPr>
        <w:t/>
      </w:r>
    </w:p>
    <w:p>
      <w:pPr>
        <w:pStyle w:val="ab"/>
      </w:pPr>
      <w:r>
        <w:t>发言人1 问：当前行业轮动模型给出的推荐方向是什么？对于A股市场的整体看法及配置建议是什么？</w:t>
      </w:r>
    </w:p>
    <w:p>
      <w:r>
        <w:rPr>
          <w:rFonts w:ascii="等线(中文正文)" w:hAnsi="等线(中文正文)" w:cs="等线(中文正文)" w:eastAsia="等线(中文正文)"/>
          <w:b w:val="false"/>
          <w:i w:val="false"/>
          <w:sz w:val="20"/>
        </w:rPr>
        <w:t>发言人1 答：根据每周跟踪的行业轮动模型，当下推荐的方向主要是有色能源、煤炭、油气以及银行等行业，这些行业具有上游资源品和防御属性的特点。从模型角度看，市场进攻方向已从科技转向周期，建议配置偏防御的板块如煤炭、银行来平衡风险。</w:t>
      </w:r>
    </w:p>
    <w:p>
      <w:r>
        <w:rPr>
          <w:rFonts w:ascii="等线(中文正文)" w:hAnsi="等线(中文正文)" w:cs="等线(中文正文)" w:eastAsia="等线(中文正文)"/>
          <w:b w:val="false"/>
          <w:i w:val="false"/>
          <w:sz w:val="20"/>
        </w:rPr>
        <w:t/>
      </w:r>
    </w:p>
    <w:p>
      <w:pPr>
        <w:pStyle w:val="ab"/>
      </w:pPr>
      <w:r>
        <w:t>发言人1 问：关于非银市场后续信贷放量的情况如何？</w:t>
      </w:r>
    </w:p>
    <w:p>
      <w:r>
        <w:rPr>
          <w:rFonts w:ascii="等线(中文正文)" w:hAnsi="等线(中文正文)" w:cs="等线(中文正文)" w:eastAsia="等线(中文正文)"/>
          <w:b w:val="false"/>
          <w:i w:val="false"/>
          <w:sz w:val="20"/>
        </w:rPr>
        <w:t>发言人1 答：非银市场后续信贷放量的问题请杜鹏辉来具体解决。</w:t>
      </w:r>
    </w:p>
    <w:p>
      <w:r>
        <w:rPr>
          <w:rFonts w:ascii="等线(中文正文)" w:hAnsi="等线(中文正文)" w:cs="等线(中文正文)" w:eastAsia="等线(中文正文)"/>
          <w:b w:val="false"/>
          <w:i w:val="false"/>
          <w:sz w:val="20"/>
        </w:rPr>
        <w:t/>
      </w:r>
    </w:p>
    <w:p>
      <w:pPr>
        <w:pStyle w:val="ab"/>
      </w:pPr>
      <w:r>
        <w:t>发言人1 问：关于指数短期判断和后续方向的看法是什么？</w:t>
      </w:r>
    </w:p>
    <w:p>
      <w:r>
        <w:rPr>
          <w:rFonts w:ascii="等线(中文正文)" w:hAnsi="等线(中文正文)" w:cs="等线(中文正文)" w:eastAsia="等线(中文正文)"/>
          <w:b w:val="false"/>
          <w:i w:val="false"/>
          <w:sz w:val="20"/>
        </w:rPr>
        <w:t>发言人1 答：短期内，预计市场将在2万亿到2.5万亿成交量的区间内平稳波动并进行平台整理。指数选择方向时需要成交量剧烈放大作为配合，若成交量稳定则大概率维持平台整理形态。</w:t>
      </w:r>
    </w:p>
    <w:p>
      <w:r>
        <w:rPr>
          <w:rFonts w:ascii="等线(中文正文)" w:hAnsi="等线(中文正文)" w:cs="等线(中文正文)" w:eastAsia="等线(中文正文)"/>
          <w:b w:val="false"/>
          <w:i w:val="false"/>
          <w:sz w:val="20"/>
        </w:rPr>
        <w:t/>
      </w:r>
    </w:p>
    <w:p>
      <w:pPr>
        <w:pStyle w:val="ab"/>
      </w:pPr>
      <w:r>
        <w:t>发言人1 问：指数重要关口时成交量的作用是什么？</w:t>
      </w:r>
    </w:p>
    <w:p>
      <w:r>
        <w:rPr>
          <w:rFonts w:ascii="等线(中文正文)" w:hAnsi="等线(中文正文)" w:cs="等线(中文正文)" w:eastAsia="等线(中文正文)"/>
          <w:b w:val="false"/>
          <w:i w:val="false"/>
          <w:sz w:val="20"/>
        </w:rPr>
        <w:t>发言人1 答：当指数冲重要关口时，成交量有效放大有利于权重板块如非银板块起到注册的作用，从而体现其进攻价值。</w:t>
      </w:r>
    </w:p>
    <w:p>
      <w:r>
        <w:rPr>
          <w:rFonts w:ascii="等线(中文正文)" w:hAnsi="等线(中文正文)" w:cs="等线(中文正文)" w:eastAsia="等线(中文正文)"/>
          <w:b w:val="false"/>
          <w:i w:val="false"/>
          <w:sz w:val="20"/>
        </w:rPr>
        <w:t/>
      </w:r>
    </w:p>
    <w:p>
      <w:pPr>
        <w:pStyle w:val="ab"/>
      </w:pPr>
      <w:r>
        <w:t>发言人1 问：在当前环境下，非银板块作为防御和进攻的选择分别如何？</w:t>
      </w:r>
    </w:p>
    <w:p>
      <w:r>
        <w:rPr>
          <w:rFonts w:ascii="等线(中文正文)" w:hAnsi="等线(中文正文)" w:cs="等线(中文正文)" w:eastAsia="等线(中文正文)"/>
          <w:b w:val="false"/>
          <w:i w:val="false"/>
          <w:sz w:val="20"/>
        </w:rPr>
        <w:t>发言人1 答：若市场处于震荡整理阶段，非银板块具有配置价值；当指数向上且成交量显著放大时，非银板块的进攻价值能得到充分体现。</w:t>
      </w:r>
    </w:p>
    <w:p>
      <w:r>
        <w:rPr>
          <w:rFonts w:ascii="等线(中文正文)" w:hAnsi="等线(中文正文)" w:cs="等线(中文正文)" w:eastAsia="等线(中文正文)"/>
          <w:b w:val="false"/>
          <w:i w:val="false"/>
          <w:sz w:val="20"/>
        </w:rPr>
        <w:t/>
      </w:r>
    </w:p>
    <w:p>
      <w:pPr>
        <w:pStyle w:val="ab"/>
      </w:pPr>
      <w:r>
        <w:t>发言人1 问：对于个股推荐有何建议？</w:t>
      </w:r>
    </w:p>
    <w:p>
      <w:r>
        <w:rPr>
          <w:rFonts w:ascii="等线(中文正文)" w:hAnsi="等线(中文正文)" w:cs="等线(中文正文)" w:eastAsia="等线(中文正文)"/>
          <w:b w:val="false"/>
          <w:i w:val="false"/>
          <w:sz w:val="20"/>
        </w:rPr>
        <w:t>发言人1 答：保险板块当前优于券商板块，保险公司的权益弹性排序为国寿、新华、太保和平安。券商方面，推荐基于财富管理和科技趋势背景下的科创跟投业务占优的券商，如国泰、海通、华泰证券等。</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2026-08-21T01:16:28Z</dcterms:created>
  <dc:creator>Apache POI</dc:creator>
</cp:coreProperties>
</file>