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范式智能（06682.HK）2026年中期业绩交流会 260820_导读</w:t>
      </w:r>
    </w:p>
    <w:p>
      <w:pPr>
        <w:pStyle w:val="a0"/>
        <w:jc w:val="center"/>
      </w:pPr>
      <w:r>
        <w:t>2026年08月20日 22:11</w:t>
      </w:r>
    </w:p>
    <w:p>
      <w:pPr>
        <w:pStyle w:val="a7"/>
      </w:pPr>
      <w:r>
        <w:t>关键词</w:t>
      </w:r>
    </w:p>
    <w:p>
      <w:r>
        <w:rPr>
          <w:rFonts w:ascii="等线(中文正文)" w:hAnsi="等线(中文正文)" w:cs="等线(中文正文)" w:eastAsia="等线(中文正文)"/>
          <w:b w:val="false"/>
          <w:i w:val="false"/>
          <w:sz w:val="20"/>
        </w:rPr>
        <w:t xml:space="preserve">营收 API业务 AI平台 盈利 毛利率 算力 模型 客户 融资 供应链 核心技术 市场份额 业务增长 战略 投资 研发 行业 政策 数据 AI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范式智能管理层向投资者汇报了公司26年中期业绩，强调了营收的显著增长和三大业务板块的协同效应，特别指出API业务的高速增长对业绩的积极影响。管理层详细讨论了公司的技术优势、持续增加的研发投入以及未来发展规划，同时突出了公司在ESG（环境、社会和治理）领域的努力，展现了对绿色生态和可持续发展的承诺。对话还回应了投资者关于API业务竞争优势、算力资源管理和私有云业务增长趋势的关切，提供了具体解答，体现了公司对市场动态的敏锐把握和对未来发展充满信心的态度。</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范式智能2026年上半年业绩报告会</w:t>
      </w:r>
    </w:p>
    <w:p>
      <w:r>
        <w:rPr>
          <w:rFonts w:ascii="等线(中文正文)" w:hAnsi="等线(中文正文)" w:cs="等线(中文正文)" w:eastAsia="等线(中文正文)"/>
          <w:b w:val="false"/>
          <w:i w:val="false"/>
          <w:sz w:val="20"/>
        </w:rPr>
        <w:t>范式智能2026年上半年业绩说明会回顾了公司营收显著增长及盈利水平持续向好，三大业务板块高效协同，实现收入37.65亿元，同比增长43.4%。会议提及前瞻性陈述的潜在风险，并介绍了非国际财务报告准则下的财务措施。</w:t>
      </w:r>
    </w:p>
    <w:p>
      <w:r>
        <w:rPr>
          <w:rFonts w:ascii="等线(中文正文)" w:hAnsi="等线(中文正文)" w:cs="等线(中文正文)" w:eastAsia="等线(中文正文)"/>
          <w:b w:val="false"/>
          <w:i w:val="false"/>
          <w:sz w:val="20"/>
        </w:rPr>
        <w:t/>
      </w:r>
    </w:p>
    <w:p>
      <w:pPr>
        <w:pStyle w:val="ab"/>
        <w:numPr>
          <w:numId w:val="2"/>
        </w:numPr>
      </w:pPr>
      <w:r>
        <w:t>01:51 API业务高速增长助力公司扭亏为盈</w:t>
      </w:r>
    </w:p>
    <w:p>
      <w:r>
        <w:rPr>
          <w:rFonts w:ascii="等线(中文正文)" w:hAnsi="等线(中文正文)" w:cs="等线(中文正文)" w:eastAsia="等线(中文正文)"/>
          <w:b w:val="false"/>
          <w:i w:val="false"/>
          <w:sz w:val="20"/>
        </w:rPr>
        <w:t>报告期间，公司三大业务板块协同发力，AI platform实现收入30.88亿元，同比增长30%。API业务收入4.64亿元，同比增长860.8%，成为重要增长极。Agented AI业务收入2.14亿元，同比增长4.9%。公司实现归母净利润1.19亿元，经调整归母净利润1.5亿元，均较去年同期成功转正。API业务凭借端到端无短缺综合能力体系，依托哈米粒GPU算力优化及model hub模型优化，实现跨越性高速增长，巩固规模化盈利优势，形成全链路壁垒，持续拉升行业差距，稳固领先地位。</w:t>
      </w:r>
    </w:p>
    <w:p>
      <w:r>
        <w:rPr>
          <w:rFonts w:ascii="等线(中文正文)" w:hAnsi="等线(中文正文)" w:cs="等线(中文正文)" w:eastAsia="等线(中文正文)"/>
          <w:b w:val="false"/>
          <w:i w:val="false"/>
          <w:sz w:val="20"/>
        </w:rPr>
        <w:t/>
      </w:r>
    </w:p>
    <w:p>
      <w:pPr>
        <w:pStyle w:val="ab"/>
        <w:numPr>
          <w:numId w:val="3"/>
        </w:numPr>
      </w:pPr>
      <w:r>
        <w:t>05:12 AI Carphone业务高质量增长与技术壁垒强化</w:t>
      </w:r>
    </w:p>
    <w:p>
      <w:r>
        <w:rPr>
          <w:rFonts w:ascii="等线(中文正文)" w:hAnsi="等线(中文正文)" w:cs="等线(中文正文)" w:eastAsia="等线(中文正文)"/>
          <w:b w:val="false"/>
          <w:i w:val="false"/>
          <w:sz w:val="20"/>
        </w:rPr>
        <w:t>公司AI Carphone板块实现收入稳定高速提升，毛利率保持稳定，经营质量与技术壁垒同步增强。核心产品市场份额快速提升，客户同比增长五倍，产品认可度和经营效率持续优化，技术迭代提升，融资能力显著增强，资金储备充足，呈现高质量稳健增长趋势。</w:t>
      </w:r>
    </w:p>
    <w:p>
      <w:r>
        <w:rPr>
          <w:rFonts w:ascii="等线(中文正文)" w:hAnsi="等线(中文正文)" w:cs="等线(中文正文)" w:eastAsia="等线(中文正文)"/>
          <w:b w:val="false"/>
          <w:i w:val="false"/>
          <w:sz w:val="20"/>
        </w:rPr>
        <w:t/>
      </w:r>
    </w:p>
    <w:p>
      <w:pPr>
        <w:pStyle w:val="ab"/>
        <w:numPr>
          <w:numId w:val="4"/>
        </w:numPr>
      </w:pPr>
      <w:r>
        <w:t>08:06 AI产业布局与双轮驱动战略</w:t>
      </w:r>
    </w:p>
    <w:p>
      <w:r>
        <w:rPr>
          <w:rFonts w:ascii="等线(中文正文)" w:hAnsi="等线(中文正文)" w:cs="等线(中文正文)" w:eastAsia="等线(中文正文)"/>
          <w:b w:val="false"/>
          <w:i w:val="false"/>
          <w:sz w:val="20"/>
        </w:rPr>
        <w:t>自2014年成立以来，公司深耕AI产业，通过算力优化和大模型适配等技术升级，解决产业核心痛点，积累了高黏性客户。面对2026年智能体时代机遇，公司采取双轮驱动战略：一方面稳固AI平台业务，依托高粘性客户贡献稳定收入；另一方面，API业务作为第二增长期，通过自研算力底座打造token工厂，释放增长势能。同时，前瞻布局长任务agent等前沿技术，持续拓宽技术与业务版图，坚持稳健经营，为股东创造长期价值。</w:t>
      </w:r>
    </w:p>
    <w:p>
      <w:r>
        <w:rPr>
          <w:rFonts w:ascii="等线(中文正文)" w:hAnsi="等线(中文正文)" w:cs="等线(中文正文)" w:eastAsia="等线(中文正文)"/>
          <w:b w:val="false"/>
          <w:i w:val="false"/>
          <w:sz w:val="20"/>
        </w:rPr>
        <w:t/>
      </w:r>
    </w:p>
    <w:p>
      <w:pPr>
        <w:pStyle w:val="ab"/>
        <w:numPr>
          <w:numId w:val="5"/>
        </w:numPr>
      </w:pPr>
      <w:r>
        <w:t>10:57 API业务高速增长与竞争优势构建</w:t>
      </w:r>
    </w:p>
    <w:p>
      <w:r>
        <w:rPr>
          <w:rFonts w:ascii="等线(中文正文)" w:hAnsi="等线(中文正文)" w:cs="等线(中文正文)" w:eastAsia="等线(中文正文)"/>
          <w:b w:val="false"/>
          <w:i w:val="false"/>
          <w:sz w:val="20"/>
        </w:rPr>
        <w:t>过去半年，API业务收入显著增长，毛利率提升，成为集团核心增长引擎。业务规模爆发，token调用量上升，分层客户生态建立，覆盖大中小客户，供应链和系统能力强化，构建双重核心壁垒，全链路成本优势明显，利润率逐步上升。</w:t>
      </w:r>
    </w:p>
    <w:p>
      <w:r>
        <w:rPr>
          <w:rFonts w:ascii="等线(中文正文)" w:hAnsi="等线(中文正文)" w:cs="等线(中文正文)" w:eastAsia="等线(中文正文)"/>
          <w:b w:val="false"/>
          <w:i w:val="false"/>
          <w:sz w:val="20"/>
        </w:rPr>
        <w:t/>
      </w:r>
    </w:p>
    <w:p>
      <w:pPr>
        <w:pStyle w:val="ab"/>
        <w:numPr>
          <w:numId w:val="6"/>
        </w:numPr>
      </w:pPr>
      <w:r>
        <w:t>15:00 AI平台业务上半年业绩稳健增长</w:t>
      </w:r>
    </w:p>
    <w:p>
      <w:r>
        <w:rPr>
          <w:rFonts w:ascii="等线(中文正文)" w:hAnsi="等线(中文正文)" w:cs="等线(中文正文)" w:eastAsia="等线(中文正文)"/>
          <w:b w:val="false"/>
          <w:i w:val="false"/>
          <w:sz w:val="20"/>
        </w:rPr>
        <w:t>上半年AI平台业务收入达30.88亿，同比增长30%，实现稳定快速增长。手头约70亿元订单，毛利率企稳，头部优质客户订单稳定增长。国产异构算力需求爆发，推动业务增长。国家政策支持AI产业发展，企业智能化转型需求旺盛，预计未来几年业务年收入增速超30%，持续扩大市场份额。</w:t>
      </w:r>
    </w:p>
    <w:p>
      <w:r>
        <w:rPr>
          <w:rFonts w:ascii="等线(中文正文)" w:hAnsi="等线(中文正文)" w:cs="等线(中文正文)" w:eastAsia="等线(中文正文)"/>
          <w:b w:val="false"/>
          <w:i w:val="false"/>
          <w:sz w:val="20"/>
        </w:rPr>
        <w:t/>
      </w:r>
    </w:p>
    <w:p>
      <w:pPr>
        <w:pStyle w:val="ab"/>
        <w:numPr>
          <w:numId w:val="7"/>
        </w:numPr>
      </w:pPr>
      <w:r>
        <w:t>17:37 Genting AI业务布局与数据驱动的AI解决方案</w:t>
      </w:r>
    </w:p>
    <w:p>
      <w:r>
        <w:rPr>
          <w:rFonts w:ascii="等线(中文正文)" w:hAnsi="等线(中文正文)" w:cs="等线(中文正文)" w:eastAsia="等线(中文正文)"/>
          <w:b w:val="false"/>
          <w:i w:val="false"/>
          <w:sz w:val="20"/>
        </w:rPr>
        <w:t>Genting AI聚焦高战略价值行业，采用result service付费模式，深耕新能源、电力、影视娱乐等场景，通过高质量垂直数据反哺大模型迭代，强化客户粘性，实现业务价值与模型能力的持续提升，构建长中长期核心增长储备。</w:t>
      </w:r>
    </w:p>
    <w:p>
      <w:r>
        <w:rPr>
          <w:rFonts w:ascii="等线(中文正文)" w:hAnsi="等线(中文正文)" w:cs="等线(中文正文)" w:eastAsia="等线(中文正文)"/>
          <w:b w:val="false"/>
          <w:i w:val="false"/>
          <w:sz w:val="20"/>
        </w:rPr>
        <w:t/>
      </w:r>
    </w:p>
    <w:p>
      <w:pPr>
        <w:pStyle w:val="ab"/>
        <w:numPr>
          <w:numId w:val="8"/>
        </w:numPr>
      </w:pPr>
      <w:r>
        <w:t>19:50 范式智能CTO阐述技术研发与长期竞争力</w:t>
      </w:r>
    </w:p>
    <w:p>
      <w:r>
        <w:rPr>
          <w:rFonts w:ascii="等线(中文正文)" w:hAnsi="等线(中文正文)" w:cs="等线(中文正文)" w:eastAsia="等线(中文正文)"/>
          <w:b w:val="false"/>
          <w:i w:val="false"/>
          <w:sz w:val="20"/>
        </w:rPr>
        <w:t>范式智能CTO强调了公司研发的三大特点：技术前沿、深厚壁垒与持续高投入。核心技术聚焦于提升算力与模型效率，已在AI基础设施底座形成坚实基础。经过长期积累，形成了难以复制的技术壁垒，并将持续投入于底层标准化能力，确保技术领先地位。</w:t>
      </w:r>
    </w:p>
    <w:p>
      <w:r>
        <w:rPr>
          <w:rFonts w:ascii="等线(中文正文)" w:hAnsi="等线(中文正文)" w:cs="等线(中文正文)" w:eastAsia="等线(中文正文)"/>
          <w:b w:val="false"/>
          <w:i w:val="false"/>
          <w:sz w:val="20"/>
        </w:rPr>
        <w:t/>
      </w:r>
    </w:p>
    <w:p>
      <w:pPr>
        <w:pStyle w:val="ab"/>
        <w:numPr>
          <w:numId w:val="9"/>
        </w:numPr>
      </w:pPr>
      <w:r>
        <w:t>21:53 持续投入与技术积累：构建AI领域的深厚壁垒</w:t>
      </w:r>
    </w:p>
    <w:p>
      <w:r>
        <w:rPr>
          <w:rFonts w:ascii="等线(中文正文)" w:hAnsi="等线(中文正文)" w:cs="等线(中文正文)" w:eastAsia="等线(中文正文)"/>
          <w:b w:val="false"/>
          <w:i w:val="false"/>
          <w:sz w:val="20"/>
        </w:rPr>
        <w:t>哈密和Model Hub通过长期投入和工程化实践，建立了技术纵深、开源生态和商业版技术领先的三重壁垒。哈密从单点BGPU能力发展到支持多种AI算力的基础设施，Model Hub则积累了超过20万个模型适配，形成规模壁垒。持续的研发投入、开源社区反馈和商业产品迭代，共同推动技术不断向前，形成难以复制的壁垒，确保在AI领域的领先地位。</w:t>
      </w:r>
    </w:p>
    <w:p>
      <w:r>
        <w:rPr>
          <w:rFonts w:ascii="等线(中文正文)" w:hAnsi="等线(中文正文)" w:cs="等线(中文正文)" w:eastAsia="等线(中文正文)"/>
          <w:b w:val="false"/>
          <w:i w:val="false"/>
          <w:sz w:val="20"/>
        </w:rPr>
        <w:t/>
      </w:r>
    </w:p>
    <w:p>
      <w:pPr>
        <w:pStyle w:val="ab"/>
        <w:numPr>
          <w:numId w:val="10"/>
        </w:numPr>
      </w:pPr>
      <w:r>
        <w:t>26:29 AI研发投入与技术壁垒构建</w:t>
      </w:r>
    </w:p>
    <w:p>
      <w:r>
        <w:rPr>
          <w:rFonts w:ascii="等线(中文正文)" w:hAnsi="等线(中文正文)" w:cs="等线(中文正文)" w:eastAsia="等线(中文正文)"/>
          <w:b w:val="false"/>
          <w:i w:val="false"/>
          <w:sz w:val="20"/>
        </w:rPr>
        <w:t>公司上半年研发投入达12.08亿元，研发费用率32.1%，研发人员占比超60%，累计500家发明专利。AI智能体显著提升研发效率，人均代码产出翻倍。研发投入聚焦于哈密model hub，强化底层平台能力，形成技术资产与工程壁垒。通过提升算力利用率和模型运行效率，降低AI生产和使用门槛，实现商业价值转化。</w:t>
      </w:r>
    </w:p>
    <w:p>
      <w:r>
        <w:rPr>
          <w:rFonts w:ascii="等线(中文正文)" w:hAnsi="等线(中文正文)" w:cs="等线(中文正文)" w:eastAsia="等线(中文正文)"/>
          <w:b w:val="false"/>
          <w:i w:val="false"/>
          <w:sz w:val="20"/>
        </w:rPr>
        <w:t/>
      </w:r>
    </w:p>
    <w:p>
      <w:pPr>
        <w:pStyle w:val="ab"/>
        <w:numPr>
          <w:numId w:val="11"/>
        </w:numPr>
      </w:pPr>
      <w:r>
        <w:t>29:58 ESG实践与具身智能安全治理</w:t>
      </w:r>
    </w:p>
    <w:p>
      <w:r>
        <w:rPr>
          <w:rFonts w:ascii="等线(中文正文)" w:hAnsi="等线(中文正文)" w:cs="等线(中文正文)" w:eastAsia="等线(中文正文)"/>
          <w:b w:val="false"/>
          <w:i w:val="false"/>
          <w:sz w:val="20"/>
        </w:rPr>
        <w:t>阐述了公司在ESG实践中的稳健治理、数字创新、科技向善和绿色生态四大支柱，强调安全底线的体系化管理，具身智能的前置安全设计，以及通过开源推动全球AI治理的中国方案，表明ESG是技术出海及商业落地的关键。</w:t>
      </w:r>
    </w:p>
    <w:p>
      <w:r>
        <w:rPr>
          <w:rFonts w:ascii="等线(中文正文)" w:hAnsi="等线(中文正文)" w:cs="等线(中文正文)" w:eastAsia="等线(中文正文)"/>
          <w:b w:val="false"/>
          <w:i w:val="false"/>
          <w:sz w:val="20"/>
        </w:rPr>
        <w:t/>
      </w:r>
    </w:p>
    <w:p>
      <w:pPr>
        <w:pStyle w:val="ab"/>
        <w:numPr>
          <w:numId w:val="12"/>
        </w:numPr>
      </w:pPr>
      <w:r>
        <w:t>32:12 安盛集团2026年上半年财务亮点与未来规划</w:t>
      </w:r>
    </w:p>
    <w:p>
      <w:r>
        <w:rPr>
          <w:rFonts w:ascii="等线(中文正文)" w:hAnsi="等线(中文正文)" w:cs="等线(中文正文)" w:eastAsia="等线(中文正文)"/>
          <w:b w:val="false"/>
          <w:i w:val="false"/>
          <w:sz w:val="20"/>
        </w:rPr>
        <w:t>2026年上半年，集团收入增长43.4%至37.65亿元，实现毛利12.33亿元，毛利率32.8%。研发投入12.1亿元，同比增长35.2%，研发费用率下降1.9个百分点。销售及营销开支减少85%至0.28亿元，销售费用率降至0.75%。资本支出达22.37亿元，算力规模增至2.8万匹。授信总额66亿元，计划通过股权、债权融资拓宽资金来源。未来将增强API业务，巩固AI platon业务，加大研发投入，深化核心竞争力，推动公司稳健可持续增长。</w:t>
      </w:r>
    </w:p>
    <w:p>
      <w:r>
        <w:rPr>
          <w:rFonts w:ascii="等线(中文正文)" w:hAnsi="等线(中文正文)" w:cs="等线(中文正文)" w:eastAsia="等线(中文正文)"/>
          <w:b w:val="false"/>
          <w:i w:val="false"/>
          <w:sz w:val="20"/>
        </w:rPr>
        <w:t/>
      </w:r>
    </w:p>
    <w:p>
      <w:pPr>
        <w:pStyle w:val="ab"/>
        <w:numPr>
          <w:numId w:val="13"/>
        </w:numPr>
      </w:pPr>
      <w:r>
        <w:t>35:04 API业务增长与未来展望</w:t>
      </w:r>
    </w:p>
    <w:p>
      <w:r>
        <w:rPr>
          <w:rFonts w:ascii="等线(中文正文)" w:hAnsi="等线(中文正文)" w:cs="等线(中文正文)" w:eastAsia="等线(中文正文)"/>
          <w:b w:val="false"/>
          <w:i w:val="false"/>
          <w:sz w:val="20"/>
        </w:rPr>
        <w:t>对话围绕公司API业务的爆发式增长展开，详细阐述了API业务全年收入展望、毛利率提升逻辑及行业覆盖情况。管理层指出，API业务已成为公司最强增长引擎，预计全年收入将达去年的20倍，毛利率稳步提升。此外，API业务主要服务于编程、文娱影视及办公多模态场景，未来看好长任务agent、具身智能及AI自我迭代方向。</w:t>
      </w:r>
    </w:p>
    <w:p>
      <w:r>
        <w:rPr>
          <w:rFonts w:ascii="等线(中文正文)" w:hAnsi="等线(中文正文)" w:cs="等线(中文正文)" w:eastAsia="等线(中文正文)"/>
          <w:b w:val="false"/>
          <w:i w:val="false"/>
          <w:sz w:val="20"/>
        </w:rPr>
        <w:t/>
      </w:r>
    </w:p>
    <w:p>
      <w:pPr>
        <w:pStyle w:val="ab"/>
        <w:numPr>
          <w:numId w:val="14"/>
        </w:numPr>
      </w:pPr>
      <w:r>
        <w:t>41:22 API业务竞争优势与端到端无短板策略</w:t>
      </w:r>
    </w:p>
    <w:p>
      <w:r>
        <w:rPr>
          <w:rFonts w:ascii="等线(中文正文)" w:hAnsi="等线(中文正文)" w:cs="等线(中文正文)" w:eastAsia="等线(中文正文)"/>
          <w:b w:val="false"/>
          <w:i w:val="false"/>
          <w:sz w:val="20"/>
        </w:rPr>
        <w:t>对话讨论了API业务的市场竞争与范式的差异化竞争优势。范式强调，API业务的成功需覆盖从模型推理优化到算力供应的端到端无短板策略，确保成本优势与可观利润，从而实现快速爆发增长并维持毛利率底线。</w:t>
      </w:r>
    </w:p>
    <w:p>
      <w:r>
        <w:rPr>
          <w:rFonts w:ascii="等线(中文正文)" w:hAnsi="等线(中文正文)" w:cs="等线(中文正文)" w:eastAsia="等线(中文正文)"/>
          <w:b w:val="false"/>
          <w:i w:val="false"/>
          <w:sz w:val="20"/>
        </w:rPr>
        <w:t/>
      </w:r>
    </w:p>
    <w:p>
      <w:pPr>
        <w:pStyle w:val="ab"/>
        <w:numPr>
          <w:numId w:val="15"/>
        </w:numPr>
      </w:pPr>
      <w:r>
        <w:t>44:24 开源技术优势与算力供应链管理</w:t>
      </w:r>
    </w:p>
    <w:p>
      <w:r>
        <w:rPr>
          <w:rFonts w:ascii="等线(中文正文)" w:hAnsi="等线(中文正文)" w:cs="等线(中文正文)" w:eastAsia="等线(中文正文)"/>
          <w:b w:val="false"/>
          <w:i w:val="false"/>
          <w:sz w:val="20"/>
        </w:rPr>
        <w:t>对话探讨了开源技术的不可替代优势及算力供应链管理的核心竞争力。开源技术通过社区生态形成原厂不可替代的优势，算力供应链管理则依靠与芯片厂商的深度合作及底层技术积累，构建了市场上的竞争壁垒。</w:t>
      </w:r>
    </w:p>
    <w:p>
      <w:r>
        <w:rPr>
          <w:rFonts w:ascii="等线(中文正文)" w:hAnsi="等线(中文正文)" w:cs="等线(中文正文)" w:eastAsia="等线(中文正文)"/>
          <w:b w:val="false"/>
          <w:i w:val="false"/>
          <w:sz w:val="20"/>
        </w:rPr>
        <w:t/>
      </w:r>
    </w:p>
    <w:p>
      <w:pPr>
        <w:pStyle w:val="ab"/>
        <w:numPr>
          <w:numId w:val="16"/>
        </w:numPr>
      </w:pPr>
      <w:r>
        <w:t>52:00 AI平台业务稳健增长与市场趋势分析</w:t>
      </w:r>
    </w:p>
    <w:p>
      <w:r>
        <w:rPr>
          <w:rFonts w:ascii="等线(中文正文)" w:hAnsi="等线(中文正文)" w:cs="等线(中文正文)" w:eastAsia="等线(中文正文)"/>
          <w:b w:val="false"/>
          <w:i w:val="false"/>
          <w:sz w:val="20"/>
        </w:rPr>
        <w:t>对话围绕AI平台业务的增长趋势展开，指出该业务得益于国家推动人工智能加新生产力的大环境，预计未来几年将保持每年30%的稳健增长。AI平台的竞争优势在于不断适应市场需求，如提高算力利用率、解决国产算力生态差距等。客户信任基于范式持续解决问题的能力，预计未来将继续满足市场需求。</w:t>
      </w:r>
    </w:p>
    <w:p>
      <w:r>
        <w:rPr>
          <w:rFonts w:ascii="等线(中文正文)" w:hAnsi="等线(中文正文)" w:cs="等线(中文正文)" w:eastAsia="等线(中文正文)"/>
          <w:b w:val="false"/>
          <w:i w:val="false"/>
          <w:sz w:val="20"/>
        </w:rPr>
        <w:t/>
      </w:r>
    </w:p>
    <w:p>
      <w:pPr>
        <w:pStyle w:val="ab"/>
        <w:numPr>
          <w:numId w:val="17"/>
        </w:numPr>
      </w:pPr>
      <w:r>
        <w:t>56:44 范式token工厂在行业中的竞争优势</w:t>
      </w:r>
    </w:p>
    <w:p>
      <w:r>
        <w:rPr>
          <w:rFonts w:ascii="等线(中文正文)" w:hAnsi="等线(中文正文)" w:cs="等线(中文正文)" w:eastAsia="等线(中文正文)"/>
          <w:b w:val="false"/>
          <w:i w:val="false"/>
          <w:sz w:val="20"/>
        </w:rPr>
        <w:t>对话围绕范式在解决算力与token供给不足问题上的端到端优势展开，强调了范式在供应链、推理端及算法模型调优等环节的全面投入和行业领先地位，以及其作为长期可信赖伙伴的市场认知。</w:t>
      </w:r>
    </w:p>
    <w:p>
      <w:r>
        <w:rPr>
          <w:rFonts w:ascii="等线(中文正文)" w:hAnsi="等线(中文正文)" w:cs="等线(中文正文)" w:eastAsia="等线(中文正文)"/>
          <w:b w:val="false"/>
          <w:i w:val="false"/>
          <w:sz w:val="20"/>
        </w:rPr>
        <w:t/>
      </w:r>
    </w:p>
    <w:p>
      <w:pPr>
        <w:pStyle w:val="a7"/>
      </w:pPr>
      <w:r>
        <w:t>发言总结</w:t>
      </w:r>
    </w:p>
    <w:p>
      <w:pPr>
        <w:pStyle w:val="ab"/>
        <w:numPr>
          <w:numId w:val="18"/>
        </w:numPr>
      </w:pPr>
      <w:r>
        <w:t>发言人1</w:t>
      </w:r>
    </w:p>
    <w:p>
      <w:r>
        <w:rPr>
          <w:rFonts w:ascii="等线(中文正文)" w:hAnsi="等线(中文正文)" w:cs="等线(中文正文)" w:eastAsia="等线(中文正文)"/>
          <w:b w:val="false"/>
          <w:i w:val="false"/>
          <w:sz w:val="20"/>
        </w:rPr>
        <w:t>他在范式智能26年中期业绩说明会上，首先对参会者表达了感谢，并回顾了公司上半年超出预期的亮眼业绩，特别提到了三大业务板块的高效协同和营收增长。他强调了公司在技术研发上的持续投入及其对业务增长的推动作用，同时讨论了公司的财务表现，包括收入增长、毛利率提升及研发投入。
他分享了公司的核心战略，包括对API业务的增长预期和对AI平台的巩固，同时介绍了公司在可持续发展和社会责任方面的努力，即ESG理念。他讨论了市场机遇、行业竞争及公司应对策略，并展望了未来，表示公司将继续加大研发投入，深化技术壁垒，拓宽资金来源，为实现稳健可持续的增长奠定基础。他以清晰的逻辑和详实的数据阐述了范式智能的经营状况和未来发展方向，表达了对公司未来发展的信心和期待。</w:t>
      </w:r>
    </w:p>
    <w:p>
      <w:r>
        <w:rPr>
          <w:rFonts w:ascii="等线(中文正文)" w:hAnsi="等线(中文正文)" w:cs="等线(中文正文)" w:eastAsia="等线(中文正文)"/>
          <w:b w:val="false"/>
          <w:i w:val="false"/>
          <w:sz w:val="20"/>
        </w:rPr>
        <w:t/>
      </w:r>
    </w:p>
    <w:p>
      <w:pPr>
        <w:pStyle w:val="a7"/>
      </w:pPr>
      <w:r>
        <w:t>要点回顾</w:t>
      </w:r>
    </w:p>
    <w:p>
      <w:pPr>
        <w:pStyle w:val="ab"/>
      </w:pPr>
      <w:r>
        <w:t>在本次业绩说明会上，将从哪些方面汇报上半年的经营情况？</w:t>
      </w:r>
    </w:p>
    <w:p>
      <w:r>
        <w:rPr>
          <w:rFonts w:ascii="等线(中文正文)" w:hAnsi="等线(中文正文)" w:cs="等线(中文正文)" w:eastAsia="等线(中文正文)"/>
          <w:b w:val="false"/>
          <w:i w:val="false"/>
          <w:sz w:val="20"/>
        </w:rPr>
        <w:t>发言人1：我们将从核心业绩、技术研发投入与成果、财务经营表现三个板块展开汇报上半年的经营情况。</w:t>
      </w:r>
    </w:p>
    <w:p>
      <w:r>
        <w:rPr>
          <w:rFonts w:ascii="等线(中文正文)" w:hAnsi="等线(中文正文)" w:cs="等线(中文正文)" w:eastAsia="等线(中文正文)"/>
          <w:b w:val="false"/>
          <w:i w:val="false"/>
          <w:sz w:val="20"/>
        </w:rPr>
        <w:t/>
      </w:r>
    </w:p>
    <w:p>
      <w:pPr>
        <w:pStyle w:val="ab"/>
      </w:pPr>
      <w:r>
        <w:t>本次会议中提供的前瞻性陈述是否包含风险和不确定因素？</w:t>
      </w:r>
    </w:p>
    <w:p>
      <w:r>
        <w:rPr>
          <w:rFonts w:ascii="等线(中文正文)" w:hAnsi="等线(中文正文)" w:cs="等线(中文正文)" w:eastAsia="等线(中文正文)"/>
          <w:b w:val="false"/>
          <w:i w:val="false"/>
          <w:sz w:val="20"/>
        </w:rPr>
        <w:t>发言人1：是的，今天的讨论可能会包含前瞻性陈述，这些陈述涉及内在风险及不确定因素，可能导致实际业绩偏离当前预期。有关风险及不确定因素的详细信息，请参阅范式向香港交易所提交的最新公告内容。</w:t>
      </w:r>
    </w:p>
    <w:p>
      <w:r>
        <w:rPr>
          <w:rFonts w:ascii="等线(中文正文)" w:hAnsi="等线(中文正文)" w:cs="等线(中文正文)" w:eastAsia="等线(中文正文)"/>
          <w:b w:val="false"/>
          <w:i w:val="false"/>
          <w:sz w:val="20"/>
        </w:rPr>
        <w:t/>
      </w:r>
    </w:p>
    <w:p>
      <w:pPr>
        <w:pStyle w:val="ab"/>
      </w:pPr>
      <w:r>
        <w:t>范式2026年上半年的核心业绩亮点是什么？</w:t>
      </w:r>
    </w:p>
    <w:p>
      <w:r>
        <w:rPr>
          <w:rFonts w:ascii="等线(中文正文)" w:hAnsi="等线(中文正文)" w:cs="等线(中文正文)" w:eastAsia="等线(中文正文)"/>
          <w:b w:val="false"/>
          <w:i w:val="false"/>
          <w:sz w:val="20"/>
        </w:rPr>
        <w:t>发言人1：2026年上半年，公司营收增长显著提升，达到人民币37.65亿元，同比增长43.4%。其中，AI platform作为核心基本盘，实现收入人民币30.88亿元，同比增长30%；API业务板块收入人民币4.64亿元，同比大幅度增长860.8%，成为最重要的增长极之一；Agented AI业务收入人民币2.14亿元，同比增长4.9%。此外，公司实现了归母净利润人民币1.19亿元，经调整归母净利润1.5亿元，成功扭亏为盈。</w:t>
      </w:r>
    </w:p>
    <w:p>
      <w:r>
        <w:rPr>
          <w:rFonts w:ascii="等线(中文正文)" w:hAnsi="等线(中文正文)" w:cs="等线(中文正文)" w:eastAsia="等线(中文正文)"/>
          <w:b w:val="false"/>
          <w:i w:val="false"/>
          <w:sz w:val="20"/>
        </w:rPr>
        <w:t/>
      </w:r>
    </w:p>
    <w:p>
      <w:pPr>
        <w:pStyle w:val="ab"/>
      </w:pPr>
      <w:r>
        <w:t>范式在AI token工厂业务方面取得了哪些关键成就？</w:t>
      </w:r>
    </w:p>
    <w:p>
      <w:r>
        <w:rPr>
          <w:rFonts w:ascii="等线(中文正文)" w:hAnsi="等线(中文正文)" w:cs="等线(中文正文)" w:eastAsia="等线(中文正文)"/>
          <w:b w:val="false"/>
          <w:i w:val="false"/>
          <w:sz w:val="20"/>
        </w:rPr>
        <w:t>发言人1：AI token工厂业务实现了跨越式的增长，依托公司端到端无短缺综合能力体系和哈米粒GPU算力优化及model hub模型优化两大核心技术，搭建起高效token生产底座，使得同等算力条件下产生更多更优质的token，从而形成核心的技术壁垒。同时，公司凭借三大核心竞争优势——规模行业领先、增长趋势强劲以及全链路壁垒突出，推动业务高度增长。</w:t>
      </w:r>
    </w:p>
    <w:p>
      <w:r>
        <w:rPr>
          <w:rFonts w:ascii="等线(中文正文)" w:hAnsi="等线(中文正文)" w:cs="等线(中文正文)" w:eastAsia="等线(中文正文)"/>
          <w:b w:val="false"/>
          <w:i w:val="false"/>
          <w:sz w:val="20"/>
        </w:rPr>
        <w:t/>
      </w:r>
    </w:p>
    <w:p>
      <w:pPr>
        <w:pStyle w:val="ab"/>
      </w:pPr>
      <w:r>
        <w:t>范式的AI carphone板块业务表现如何？</w:t>
      </w:r>
    </w:p>
    <w:p>
      <w:r>
        <w:rPr>
          <w:rFonts w:ascii="等线(中文正文)" w:hAnsi="等线(中文正文)" w:cs="等线(中文正文)" w:eastAsia="等线(中文正文)"/>
          <w:b w:val="false"/>
          <w:i w:val="false"/>
          <w:sz w:val="20"/>
        </w:rPr>
        <w:t>发言人1：AI carphone板块业务高质量增长，收入稳定高速提升，毛利率持续保持稳定。上半年板块规模稳步扩张，四大核心产品——VGPU、model号router等持续迭代，技术护城河加深，市场份额快速提升，客户同比增长五倍，并且通过提升客户口碑和经营效率，实现了收入稳步快速增长，技术壁垒持续加固。</w:t>
      </w:r>
    </w:p>
    <w:p>
      <w:r>
        <w:rPr>
          <w:rFonts w:ascii="等线(中文正文)" w:hAnsi="等线(中文正文)" w:cs="等线(中文正文)" w:eastAsia="等线(中文正文)"/>
          <w:b w:val="false"/>
          <w:i w:val="false"/>
          <w:sz w:val="20"/>
        </w:rPr>
        <w:t/>
      </w:r>
    </w:p>
    <w:p>
      <w:pPr>
        <w:pStyle w:val="ab"/>
      </w:pPr>
      <w:r>
        <w:t>范式董事长兼首席执行官戴文渊博士如何总结公司战略框架及各业务板块成果？</w:t>
      </w:r>
    </w:p>
    <w:p>
      <w:r>
        <w:rPr>
          <w:rFonts w:ascii="等线(中文正文)" w:hAnsi="等线(中文正文)" w:cs="等线(中文正文)" w:eastAsia="等线(中文正文)"/>
          <w:b w:val="false"/>
          <w:i w:val="false"/>
          <w:sz w:val="20"/>
        </w:rPr>
        <w:t>发言人1：戴文渊博士指出，自成立以来，公司深耕AI产业落地，核心技术不断迭代升级，精准解决产业痛点。面对智能体时代机遇，公司坚持稳扎基本盘（AI平台业务）并激活新增长点（API业务），共享底层技术，高效协同赋能。同时，公司前瞻布局前沿赛道，持续拓宽技术和业务版图，短期深化核心客户战略，规模化落地token工厂，打通算力和token服务全链路闭环；中长期将持续深耕前沿智能体技术孵化和落地，坚守双轮驱动核心战略，实现公司业绩持续均衡高质量稳健跃升。</w:t>
      </w:r>
    </w:p>
    <w:p>
      <w:r>
        <w:rPr>
          <w:rFonts w:ascii="等线(中文正文)" w:hAnsi="等线(中文正文)" w:cs="等线(中文正文)" w:eastAsia="等线(中文正文)"/>
          <w:b w:val="false"/>
          <w:i w:val="false"/>
          <w:sz w:val="20"/>
        </w:rPr>
        <w:t/>
      </w:r>
    </w:p>
    <w:p>
      <w:pPr>
        <w:pStyle w:val="ab"/>
      </w:pPr>
      <w:r>
        <w:t>过去半年，API业务的表现和发展情况如何？</w:t>
      </w:r>
    </w:p>
    <w:p>
      <w:r>
        <w:rPr>
          <w:rFonts w:ascii="等线(中文正文)" w:hAnsi="等线(中文正文)" w:cs="等线(中文正文)" w:eastAsia="等线(中文正文)"/>
          <w:b w:val="false"/>
          <w:i w:val="false"/>
          <w:sz w:val="20"/>
        </w:rPr>
        <w:t>发言人1：过去半年，API业务收入实现了高速攀升，竞争壁垒不断加强，毛利率保持稳健提升，并成为集团的核心增长引擎。具体体现在三个方面：首先，核心经营指标全面增长，正式进入规模化爆发阶段；token工厂业务快速增长，编程多模态文娱等场景需求释放带动API收入质量和可预测性提升。其次，搭建起分层灵活的客户生态，兼容海量开源模型，通过多维度定价策略覆盖各类客群，头部大客户与中小客户共同推动开发者生态扩张。最后，依托强大的供应链能力和系统能力构建双重核心壁垒，算力大幅提升，且系统服务可用性及延时表现均优于行业平均水平。</w:t>
      </w:r>
    </w:p>
    <w:p>
      <w:r>
        <w:rPr>
          <w:rFonts w:ascii="等线(中文正文)" w:hAnsi="等线(中文正文)" w:cs="等线(中文正文)" w:eastAsia="等线(中文正文)"/>
          <w:b w:val="false"/>
          <w:i w:val="false"/>
          <w:sz w:val="20"/>
        </w:rPr>
        <w:t/>
      </w:r>
    </w:p>
    <w:p>
      <w:pPr>
        <w:pStyle w:val="ab"/>
      </w:pPr>
      <w:r>
        <w:t>API业务的成本优势是如何建立起来的？</w:t>
      </w:r>
    </w:p>
    <w:p>
      <w:r>
        <w:rPr>
          <w:rFonts w:ascii="等线(中文正文)" w:hAnsi="等线(中文正文)" w:cs="等线(中文正文)" w:eastAsia="等线(中文正文)"/>
          <w:b w:val="false"/>
          <w:i w:val="false"/>
          <w:sz w:val="20"/>
        </w:rPr>
        <w:t>发言人1：API业务的优势源于技术和供应链全链路无短板，从算力供应链到调度、推理优化各个环节均有完整布局。随着算力资源增加和技术进步，通过算力虚拟化、池化和全链路调度等技术手段，持续提升单卡产出效率，降低运营成本。同时，生态位也没有短板，灵活选用最优算力和模型，聚合多场景需求以实现整体资源效率最大化，叠加行业算力供给紧缺及高价值客户占比提升的外部条件，共同支撑了API业务利润率的长期稳步向上。</w:t>
      </w:r>
    </w:p>
    <w:p>
      <w:r>
        <w:rPr>
          <w:rFonts w:ascii="等线(中文正文)" w:hAnsi="等线(中文正文)" w:cs="等线(中文正文)" w:eastAsia="等线(中文正文)"/>
          <w:b w:val="false"/>
          <w:i w:val="false"/>
          <w:sz w:val="20"/>
        </w:rPr>
        <w:t/>
      </w:r>
    </w:p>
    <w:p>
      <w:pPr>
        <w:pStyle w:val="ab"/>
      </w:pPr>
      <w:r>
        <w:t>AI platform业务上半年的经营状况怎样？</w:t>
      </w:r>
    </w:p>
    <w:p>
      <w:r>
        <w:rPr>
          <w:rFonts w:ascii="等线(中文正文)" w:hAnsi="等线(中文正文)" w:cs="等线(中文正文)" w:eastAsia="等线(中文正文)"/>
          <w:b w:val="false"/>
          <w:i w:val="false"/>
          <w:sz w:val="20"/>
        </w:rPr>
        <w:t>发言人1：AI platform业务上半年表现出稳定的快速增长态势，收入达到30.88亿，同比增长30%，毛利率企稳，目前在手订单约70亿元，确保了稳定的毛利率水平。客户覆盖持续拓宽，付费客户稳步提升，其中头部优质客户的订单稳定增长，客户扩张与AI产业化紧密跟进，加固了收入稳定快速增长与毛利率企稳的板块特色。</w:t>
      </w:r>
    </w:p>
    <w:p>
      <w:r>
        <w:rPr>
          <w:rFonts w:ascii="等线(中文正文)" w:hAnsi="等线(中文正文)" w:cs="等线(中文正文)" w:eastAsia="等线(中文正文)"/>
          <w:b w:val="false"/>
          <w:i w:val="false"/>
          <w:sz w:val="20"/>
        </w:rPr>
        <w:t/>
      </w:r>
    </w:p>
    <w:p>
      <w:pPr>
        <w:pStyle w:val="ab"/>
      </w:pPr>
      <w:r>
        <w:t>AI平台业务的发展前景如何？</w:t>
      </w:r>
    </w:p>
    <w:p>
      <w:r>
        <w:rPr>
          <w:rFonts w:ascii="等线(中文正文)" w:hAnsi="等线(中文正文)" w:cs="等线(中文正文)" w:eastAsia="等线(中文正文)"/>
          <w:b w:val="false"/>
          <w:i w:val="false"/>
          <w:sz w:val="20"/>
        </w:rPr>
        <w:t>发言人1：AI平台业务的发展受到国家政策大力支持，新的生产力和人工智能行动计划推动各行各业加快布局算力，企业智能化转型要求AI深度嵌入生产任务，带来广阔的应用空间。公司将在未来几年内凭借行业第一梯队的地位、多层次的竞争壁垒以及强大的技术落地经验，实现年收入增速超30%，持续扩大市场份额。</w:t>
      </w:r>
    </w:p>
    <w:p>
      <w:r>
        <w:rPr>
          <w:rFonts w:ascii="等线(中文正文)" w:hAnsi="等线(中文正文)" w:cs="等线(中文正文)" w:eastAsia="等线(中文正文)"/>
          <w:b w:val="false"/>
          <w:i w:val="false"/>
          <w:sz w:val="20"/>
        </w:rPr>
        <w:t/>
      </w:r>
    </w:p>
    <w:p>
      <w:pPr>
        <w:pStyle w:val="ab"/>
      </w:pPr>
      <w:r>
        <w:t>Genting AI作为中长期核心布局，其业务逻辑和目标是什么？</w:t>
      </w:r>
    </w:p>
    <w:p>
      <w:r>
        <w:rPr>
          <w:rFonts w:ascii="等线(中文正文)" w:hAnsi="等线(中文正文)" w:cs="等线(中文正文)" w:eastAsia="等线(中文正文)"/>
          <w:b w:val="false"/>
          <w:i w:val="false"/>
          <w:sz w:val="20"/>
        </w:rPr>
        <w:t>发言人1：Genting AI将聚焦具备高战略价值且能沉淀高质量垂直数据的行业场景，实现业务落地和数据积累的双向闭环。采用result service付费模式，深入嵌入客户核心业务场景，依托AI技术助力客户降本增效并基于实际业务价值进行收益分成。目前，已在新能源、电力、影视娱乐等领域积累大量真实业务反馈数据，未来将持续沉淀场景数据，打磨业务落地能力，以海量真实数据反哺大模型迭代升级，增强模型场景适配性、实用性与智能化能力，使AI解决方案可复制、规模化扩大，并强化客户粘性，为公司带来长中长期的核心增长储备。</w:t>
      </w:r>
    </w:p>
    <w:p>
      <w:r>
        <w:rPr>
          <w:rFonts w:ascii="等线(中文正文)" w:hAnsi="等线(中文正文)" w:cs="等线(中文正文)" w:eastAsia="等线(中文正文)"/>
          <w:b w:val="false"/>
          <w:i w:val="false"/>
          <w:sz w:val="20"/>
        </w:rPr>
        <w:t/>
      </w:r>
    </w:p>
    <w:p>
      <w:pPr>
        <w:pStyle w:val="ab"/>
      </w:pPr>
      <w:r>
        <w:t>范式智能在技术研发方面有何特点及竞争优势？</w:t>
      </w:r>
    </w:p>
    <w:p>
      <w:r>
        <w:rPr>
          <w:rFonts w:ascii="等线(中文正文)" w:hAnsi="等线(中文正文)" w:cs="等线(中文正文)" w:eastAsia="等线(中文正文)"/>
          <w:b w:val="false"/>
          <w:i w:val="false"/>
          <w:sz w:val="20"/>
        </w:rPr>
        <w:t>发言人1：范式智能研发具有技术前沿壁垒深厚、持续高强度研发投入的特点。首先，核心技术方向处于AI行业最前沿位置，关注算力利用率、异构算力管理、模型适配和推理效率等关键问题；其次，核心技术已形成深重壁垒，例如哈密拥有八年的技术积累并进入CNCF incubation阶段，model hub沉淀了超过20万组模型芯片适配组合；最后，公司持续将研发集中在底层标准化的核心能力上，以保持技术前沿并构建难以复制的技术壁垒。</w:t>
      </w:r>
    </w:p>
    <w:p>
      <w:r>
        <w:rPr>
          <w:rFonts w:ascii="等线(中文正文)" w:hAnsi="等线(中文正文)" w:cs="等线(中文正文)" w:eastAsia="等线(中文正文)"/>
          <w:b w:val="false"/>
          <w:i w:val="false"/>
          <w:sz w:val="20"/>
        </w:rPr>
        <w:t/>
      </w:r>
    </w:p>
    <w:p>
      <w:pPr>
        <w:pStyle w:val="ab"/>
      </w:pPr>
      <w:r>
        <w:t>哈密技术前沿优势是如何形成的？哈密构建了哪些方面的壁垒？</w:t>
      </w:r>
    </w:p>
    <w:p>
      <w:r>
        <w:rPr>
          <w:rFonts w:ascii="等线(中文正文)" w:hAnsi="等线(中文正文)" w:cs="等线(中文正文)" w:eastAsia="等线(中文正文)"/>
          <w:b w:val="false"/>
          <w:i w:val="false"/>
          <w:sz w:val="20"/>
        </w:rPr>
        <w:t>发言人1：哈密的技术前沿优势是通过十余年AI工程化经验和持续研发投入形成的复利效应。自2014年成立以来，公司围绕企业AI的核心问题进行深入研究和长期投入，目前哈密在技术纵深、model hub的模型适配数量等方面具有显著优势，并且持续深化这些能力以构建难以复制的壁垒。哈密构建了三重壁垒：首先，通过长期的技术和工程化积累，发展成为支持多种GPU、NPU等AI算力的虚拟化、切分和调度基础设施，在不同芯片、负载及商业环境中实现稳定运行；其次，通过参与CNCF开源社区，形成独特生态壁垒，同时开源生态也加速了技术积累和广度拓展；最后，商业版rise BGPU持续保持技术领先，针对企业级特性如资源调度、显存管理等进行优化，并与更多芯片厂商合作以覆盖更新先进的芯片型号。</w:t>
      </w:r>
    </w:p>
    <w:p>
      <w:r>
        <w:rPr>
          <w:rFonts w:ascii="等线(中文正文)" w:hAnsi="等线(中文正文)" w:cs="等线(中文正文)" w:eastAsia="等线(中文正文)"/>
          <w:b w:val="false"/>
          <w:i w:val="false"/>
          <w:sz w:val="20"/>
        </w:rPr>
        <w:t/>
      </w:r>
    </w:p>
    <w:p>
      <w:pPr>
        <w:pStyle w:val="ab"/>
      </w:pPr>
      <w:r>
        <w:t>公司如何看待研发投入与技术前沿的关系？</w:t>
      </w:r>
    </w:p>
    <w:p>
      <w:r>
        <w:rPr>
          <w:rFonts w:ascii="等线(中文正文)" w:hAnsi="等线(中文正文)" w:cs="等线(中文正文)" w:eastAsia="等线(中文正文)"/>
          <w:b w:val="false"/>
          <w:i w:val="false"/>
          <w:sz w:val="20"/>
        </w:rPr>
        <w:t>发言人1：公司认为持续研发投入是保持技术前沿的关键，目标不是某一时间点的领先，而是通过不断研发和生态反馈，持续站在技术前沿，并让已形成的壁垒不断加深。例如，通过进入CNCF incubation、参与主流推理生态工程化等，将前沿需求快速沉淀回产品，形成持续强化的闭环。</w:t>
      </w:r>
    </w:p>
    <w:p>
      <w:r>
        <w:rPr>
          <w:rFonts w:ascii="等线(中文正文)" w:hAnsi="等线(中文正文)" w:cs="等线(中文正文)" w:eastAsia="等线(中文正文)"/>
          <w:b w:val="false"/>
          <w:i w:val="false"/>
          <w:sz w:val="20"/>
        </w:rPr>
        <w:t/>
      </w:r>
    </w:p>
    <w:p>
      <w:pPr>
        <w:pStyle w:val="ab"/>
      </w:pPr>
      <w:r>
        <w:t>Model hub如何形成壁垒？</w:t>
      </w:r>
    </w:p>
    <w:p>
      <w:r>
        <w:rPr>
          <w:rFonts w:ascii="等线(中文正文)" w:hAnsi="等线(中文正文)" w:cs="等线(中文正文)" w:eastAsia="等线(中文正文)"/>
          <w:b w:val="false"/>
          <w:i w:val="false"/>
          <w:sz w:val="20"/>
        </w:rPr>
        <w:t>发言人1：Model hub目前沉淀了超过20万模型适配，预计明年将突破百万级规模。随着大量模型、芯片、推理框架和场景优化经验的积累，将从能否跑通转向如何更高效地运行，并扩展到主流算力生态中。这种规模化发展形成规模壁垒，且随着持续投入，将进一步提升模型运行效率和稳定性。</w:t>
      </w:r>
    </w:p>
    <w:p>
      <w:r>
        <w:rPr>
          <w:rFonts w:ascii="等线(中文正文)" w:hAnsi="等线(中文正文)" w:cs="等线(中文正文)" w:eastAsia="等线(中文正文)"/>
          <w:b w:val="false"/>
          <w:i w:val="false"/>
          <w:sz w:val="20"/>
        </w:rPr>
        <w:t/>
      </w:r>
    </w:p>
    <w:p>
      <w:pPr>
        <w:pStyle w:val="ab"/>
      </w:pPr>
      <w:r>
        <w:t>研发投入如何实现复用和放大效应？</w:t>
      </w:r>
    </w:p>
    <w:p>
      <w:r>
        <w:rPr>
          <w:rFonts w:ascii="等线(中文正文)" w:hAnsi="等线(中文正文)" w:cs="等线(中文正文)" w:eastAsia="等线(中文正文)"/>
          <w:b w:val="false"/>
          <w:i w:val="false"/>
          <w:sz w:val="20"/>
        </w:rPr>
        <w:t>发言人1：研发投入优先投入到如哈密和model hub这类底层、前沿、标准化程度高、作用范围广的平台能力上，而非一次性定制项目。这样，一旦完成的算力优化或模型适配可以服务于公有云、私有云和不同客户，使用场景越多，就会产生更多用户反馈，推动技术迭代，从而实现研发投入的复用和放大效应。</w:t>
      </w:r>
    </w:p>
    <w:p>
      <w:r>
        <w:rPr>
          <w:rFonts w:ascii="等线(中文正文)" w:hAnsi="等线(中文正文)" w:cs="等线(中文正文)" w:eastAsia="等线(中文正文)"/>
          <w:b w:val="false"/>
          <w:i w:val="false"/>
          <w:sz w:val="20"/>
        </w:rPr>
        <w:t/>
      </w:r>
    </w:p>
    <w:p>
      <w:pPr>
        <w:pStyle w:val="ab"/>
      </w:pPr>
      <w:r>
        <w:t>持续研发如何转化为商业价值？</w:t>
      </w:r>
    </w:p>
    <w:p>
      <w:r>
        <w:rPr>
          <w:rFonts w:ascii="等线(中文正文)" w:hAnsi="等线(中文正文)" w:cs="等线(中文正文)" w:eastAsia="等线(中文正文)"/>
          <w:b w:val="false"/>
          <w:i w:val="false"/>
          <w:sz w:val="20"/>
        </w:rPr>
        <w:t>发言人1：持续高强度的研发投入使公司在技术前沿保持领先，并通过长期工程积累形成深厚壁垒。这些投入最终转化为高质量、高效率、低成本的AI算力，体现在帮助企业提升算力利用率、加快模型部署和降低成本等方面，在公有云服务中提升算力效率和模型运行效率，从而决定整体生产效率，实现更高的盈利空间。</w:t>
      </w:r>
    </w:p>
    <w:p>
      <w:r>
        <w:rPr>
          <w:rFonts w:ascii="等线(中文正文)" w:hAnsi="等线(中文正文)" w:cs="等线(中文正文)" w:eastAsia="等线(中文正文)"/>
          <w:b w:val="false"/>
          <w:i w:val="false"/>
          <w:sz w:val="20"/>
        </w:rPr>
        <w:t/>
      </w:r>
    </w:p>
    <w:p>
      <w:pPr>
        <w:pStyle w:val="ab"/>
      </w:pPr>
      <w:r>
        <w:t>公司在ESG方面有哪些实践和成果？</w:t>
      </w:r>
    </w:p>
    <w:p>
      <w:r>
        <w:rPr>
          <w:rFonts w:ascii="等线(中文正文)" w:hAnsi="等线(中文正文)" w:cs="等线(中文正文)" w:eastAsia="等线(中文正文)"/>
          <w:b w:val="false"/>
          <w:i w:val="false"/>
          <w:sz w:val="20"/>
        </w:rPr>
        <w:t>发言人1：公司在ESG方面有扎实的稳健治理、数字创新、科技向善和绿色生态四大支柱，已通过ISO安全认证，保持着零安全事件、零行政罚款、零产品召回记录，并获得信通院六大领域认证。同时，在具身智能治理上走在前列，设计了安全边界和人类最终控制权机制，确保AI在物理世界的行为安全可控。</w:t>
      </w:r>
    </w:p>
    <w:p>
      <w:r>
        <w:rPr>
          <w:rFonts w:ascii="等线(中文正文)" w:hAnsi="等线(中文正文)" w:cs="等线(中文正文)" w:eastAsia="等线(中文正文)"/>
          <w:b w:val="false"/>
          <w:i w:val="false"/>
          <w:sz w:val="20"/>
        </w:rPr>
        <w:t/>
      </w:r>
    </w:p>
    <w:p>
      <w:pPr>
        <w:pStyle w:val="ab"/>
      </w:pPr>
      <w:r>
        <w:t>公司相较于各类的竞争者，API业务的差异化竞争优势是什么？以及公司有何手段和技术产品储备去持续提升客户粘性和客户价值？</w:t>
      </w:r>
    </w:p>
    <w:p>
      <w:r>
        <w:rPr>
          <w:rFonts w:ascii="等线(中文正文)" w:hAnsi="等线(中文正文)" w:cs="等线(中文正文)" w:eastAsia="等线(中文正文)"/>
          <w:b w:val="false"/>
          <w:i w:val="false"/>
          <w:sz w:val="20"/>
        </w:rPr>
        <w:t>发言人1：API业务的竞争优势在于“端到端无短板”，我们不仅做好模型推理优化，也确保供应链端拿到成本最优的算力。这种全面的能力让我们在竞争中具备成本优势和可观利润，也是实现API业务快速增长和维持毛利率底线的关键。</w:t>
      </w:r>
    </w:p>
    <w:p>
      <w:r>
        <w:rPr>
          <w:rFonts w:ascii="等线(中文正文)" w:hAnsi="等线(中文正文)" w:cs="等线(中文正文)" w:eastAsia="等线(中文正文)"/>
          <w:b w:val="false"/>
          <w:i w:val="false"/>
          <w:sz w:val="20"/>
        </w:rPr>
        <w:t/>
      </w:r>
    </w:p>
    <w:p>
      <w:pPr>
        <w:pStyle w:val="ab"/>
      </w:pPr>
      <w:r>
        <w:t>面对未来大厂可能加入并赶超公司的风险，公司如何应对？</w:t>
      </w:r>
    </w:p>
    <w:p>
      <w:r>
        <w:rPr>
          <w:rFonts w:ascii="等线(中文正文)" w:hAnsi="等线(中文正文)" w:cs="等线(中文正文)" w:eastAsia="等线(中文正文)"/>
          <w:b w:val="false"/>
          <w:i w:val="false"/>
          <w:sz w:val="20"/>
        </w:rPr>
        <w:t>发言人1：开源产品的魅力在于其社区生态的一体性和开发者、用户的共同参与，这形成了原厂的独特优势。原厂能够确保技术的稳定性和持续支持，并针对客户需求提供快速定制化解决方案，这是非原厂难以替代的。同时，公司在开源社区中作为原厂的角色，具备不可替代的技术路线和技术方向规划能力，能够灵活应对市场变化和竞争挑战。</w:t>
      </w:r>
    </w:p>
    <w:p>
      <w:r>
        <w:rPr>
          <w:rFonts w:ascii="等线(中文正文)" w:hAnsi="等线(中文正文)" w:cs="等线(中文正文)" w:eastAsia="等线(中文正文)"/>
          <w:b w:val="false"/>
          <w:i w:val="false"/>
          <w:sz w:val="20"/>
        </w:rPr>
        <w:t/>
      </w:r>
    </w:p>
    <w:p>
      <w:pPr>
        <w:pStyle w:val="ab"/>
      </w:pPr>
      <w:r>
        <w:t>公司如何看待开源项目如VGPU技术被模仿复制的风险，以及在算力供应链管控方面的差异化特点和竞争优势？</w:t>
      </w:r>
    </w:p>
    <w:p>
      <w:r>
        <w:rPr>
          <w:rFonts w:ascii="等线(中文正文)" w:hAnsi="等线(中文正文)" w:cs="等线(中文正文)" w:eastAsia="等线(中文正文)"/>
          <w:b w:val="false"/>
          <w:i w:val="false"/>
          <w:sz w:val="20"/>
        </w:rPr>
        <w:t>发言人1：开源产品与成熟市场产品有显著区别，开源社区和生态由开发者、用户共同构建和完善产品。对于开源原厂而言，即使技术被模仿，由于对技术路线和技术方向的把控以及社区中心地位带来的优势，能够提供持续稳定的产品使用保障，并能快速响应和解决新需求或问题。在算力供应链管理上，公司拥有强大的底层能力和与众多芯片厂商的深度合作关系，确保了在供应链端的卓越表现。</w:t>
      </w:r>
    </w:p>
    <w:p>
      <w:r>
        <w:rPr>
          <w:rFonts w:ascii="等线(中文正文)" w:hAnsi="等线(中文正文)" w:cs="等线(中文正文)" w:eastAsia="等线(中文正文)"/>
          <w:b w:val="false"/>
          <w:i w:val="false"/>
          <w:sz w:val="20"/>
        </w:rPr>
        <w:t/>
      </w:r>
    </w:p>
    <w:p>
      <w:pPr>
        <w:pStyle w:val="ab"/>
      </w:pPr>
      <w:r>
        <w:t>我们私有化业务今年上半年增速30%非常稳健，能否了解一下这个业务后面的增长趋势如何？以及今年私有云客户的构成和变化趋势有什么新变化？</w:t>
      </w:r>
    </w:p>
    <w:p>
      <w:r>
        <w:rPr>
          <w:rFonts w:ascii="等线(中文正文)" w:hAnsi="等线(中文正文)" w:cs="等线(中文正文)" w:eastAsia="等线(中文正文)"/>
          <w:b w:val="false"/>
          <w:i w:val="false"/>
          <w:sz w:val="20"/>
        </w:rPr>
        <w:t>发言人1：AI平台业务作为我们过去十年的基本盘，未来几年我们将保持每年30%的稳健增长并企稳毛利率。这一增长主要得益于国家推动人工智能与各行业深度融合，以及我们不断夯实自身竞争优势，推出适应不同时代需求的产品。十年前，AI平台以降低AI落地门槛为主打，如今则面临算力成本上升和利用率提升的问题，因此如VGPU等解决方案的重要性愈发凸显。此外，国内客户对多种国产信创GPU的需求增加，使得易购算力管理成为关键话题，同时我们也在大力布局model hub以加强国产算力生态。</w:t>
      </w:r>
    </w:p>
    <w:p>
      <w:r>
        <w:rPr>
          <w:rFonts w:ascii="等线(中文正文)" w:hAnsi="等线(中文正文)" w:cs="等线(中文正文)" w:eastAsia="等线(中文正文)"/>
          <w:b w:val="false"/>
          <w:i w:val="false"/>
          <w:sz w:val="20"/>
        </w:rPr>
        <w:t/>
      </w:r>
    </w:p>
    <w:p>
      <w:pPr>
        <w:pStyle w:val="ab"/>
      </w:pPr>
      <w:r>
        <w:t>能否介绍一下范式在众多模型API提供商中脱颖而出的原因？</w:t>
      </w:r>
    </w:p>
    <w:p>
      <w:r>
        <w:rPr>
          <w:rFonts w:ascii="等线(中文正文)" w:hAnsi="等线(中文正文)" w:cs="等线(中文正文)" w:eastAsia="等线(中文正文)"/>
          <w:b w:val="false"/>
          <w:i w:val="false"/>
          <w:sz w:val="20"/>
        </w:rPr>
        <w:t>发言人1：我们从两个方面来回答这个问题。首先，当前最大的矛盾是算力和token的供给不足。我们通过端到端没有短板的解决方案来解决这个矛盾，即从供应链端到推理端，包括算法模型调优在内的全链路做到业界领先，确保了token的稳定供给。其次，客户希望选择能够长期稳定解决token供给问题的供应商。我们持续在token供给各个环节投入并保持业界领先，让客户相信范式是一个可以长期信赖的伙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2026-08-20T14:16:13Z</dcterms:created>
  <dc:creator>Apache POI</dc:creator>
</cp:coreProperties>
</file>