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东吴环保•朔元撷理 - 生物油：政策篇 - 欧盟UDB强制溯源体系有望加速，提升行业合规门槛利好餐厨龙头 260820_导读</w:t>
      </w:r>
    </w:p>
    <w:p>
      <w:pPr>
        <w:pStyle w:val="a0"/>
        <w:jc w:val="center"/>
      </w:pPr>
      <w:r>
        <w:t>2026年08月20日 22:11</w:t>
      </w:r>
    </w:p>
    <w:p>
      <w:pPr>
        <w:pStyle w:val="a7"/>
      </w:pPr>
      <w:r>
        <w:t>关键词</w:t>
      </w:r>
    </w:p>
    <w:p>
      <w:r>
        <w:rPr>
          <w:rFonts w:ascii="等线(中文正文)" w:hAnsi="等线(中文正文)" w:cs="等线(中文正文)" w:eastAsia="等线(中文正文)"/>
          <w:b w:val="false"/>
          <w:i w:val="false"/>
          <w:sz w:val="20"/>
        </w:rPr>
        <w:t xml:space="preserve">欧盟 RED指令 生物燃料 废弃油脂 减排门槛 原料分类管理 合规 餐厨废油 生物柴油 植物油 可持续性 林毁林法案 供应链 生物航煤 先进燃料 双倍积分 全链条可追溯 政策激励 餐厨提油 UDB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电话会议强调了参会者在会议开始前应输入特定密码并以井号键结束的操作流程，同时表达了对所有参与者积极投入的感激之情，并预告了会议即将正式开始。会议内容丰富，不仅涵盖进门财经与东吴证券研究所联合组织的讨论，还深入探讨了欧盟UDB强制溯源体系对行业的影响，特别是废弃油脂在生物燃料生产中的应用及其带来的机遇，凸显了相关政策对餐厨提油企业的利好。此外，会议亦提醒与会者关注公众号和APP的最新信息。整个会议以再次感谢所有参与者的支持并宣布会议圆满结束作为尾声，展现了高效、专业的组织安排和对行业发展趋势的深刻洞察。</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进门财经电话会议系统接入指南</w:t>
      </w:r>
    </w:p>
    <w:p>
      <w:r>
        <w:rPr>
          <w:rFonts w:ascii="等线(中文正文)" w:hAnsi="等线(中文正文)" w:cs="等线(中文正文)" w:eastAsia="等线(中文正文)"/>
          <w:b w:val="false"/>
          <w:i w:val="false"/>
          <w:sz w:val="20"/>
        </w:rPr>
        <w:t>对话围绕接入进门财经电话会议系统展开，详细介绍了输入参会密码以井号键结束的正确操作流程，以及成功加入会议后的注意事项，强调了会议即将开始的信息提示。</w:t>
      </w:r>
    </w:p>
    <w:p>
      <w:r>
        <w:rPr>
          <w:rFonts w:ascii="等线(中文正文)" w:hAnsi="等线(中文正文)" w:cs="等线(中文正文)" w:eastAsia="等线(中文正文)"/>
          <w:b w:val="false"/>
          <w:i w:val="false"/>
          <w:sz w:val="20"/>
        </w:rPr>
        <w:t/>
      </w:r>
    </w:p>
    <w:p>
      <w:pPr>
        <w:pStyle w:val="ab"/>
        <w:numPr>
          <w:numId w:val="2"/>
        </w:numPr>
      </w:pPr>
      <w:r>
        <w:t>10:58 生物油原料政策解析：废弃油脂受青睐</w:t>
      </w:r>
    </w:p>
    <w:p>
      <w:r>
        <w:rPr>
          <w:rFonts w:ascii="等线(中文正文)" w:hAnsi="等线(中文正文)" w:cs="等线(中文正文)" w:eastAsia="等线(中文正文)"/>
          <w:b w:val="false"/>
          <w:i w:val="false"/>
          <w:sz w:val="20"/>
        </w:rPr>
        <w:t>会议讨论了生物油原料政策，重点在于废弃油脂因减排比例高、符合RED指令原料分类管理而受政策青睐。欧盟UDB强制溯源体系的执行将进一步提升行业合规门槛，使餐厨提油等合规原料更加稀缺且定价权增强。</w:t>
      </w:r>
    </w:p>
    <w:p>
      <w:r>
        <w:rPr>
          <w:rFonts w:ascii="等线(中文正文)" w:hAnsi="等线(中文正文)" w:cs="等线(中文正文)" w:eastAsia="等线(中文正文)"/>
          <w:b w:val="false"/>
          <w:i w:val="false"/>
          <w:sz w:val="20"/>
        </w:rPr>
        <w:t/>
      </w:r>
    </w:p>
    <w:p>
      <w:pPr>
        <w:pStyle w:val="ab"/>
        <w:numPr>
          <w:numId w:val="3"/>
        </w:numPr>
      </w:pPr>
      <w:r>
        <w:t>14:19 欧盟生物燃料政策下的原料分类与减排门槛</w:t>
      </w:r>
    </w:p>
    <w:p>
      <w:r>
        <w:rPr>
          <w:rFonts w:ascii="等线(中文正文)" w:hAnsi="等线(中文正文)" w:cs="等线(中文正文)" w:eastAsia="等线(中文正文)"/>
          <w:b w:val="false"/>
          <w:i w:val="false"/>
          <w:sz w:val="20"/>
        </w:rPr>
        <w:t>对话讨论了欧盟生物燃料政策框架下，不同原料的减排要求与分类管理。重点提及废油脂制备的生物燃料减排效果显著，受政策青睐；RED政策从2009年起经历三个阶段，逐步限制粮食基生物燃料，尤其是棕榈油，同时推广废弃物和残渣原料，设立双倍积分激励，强化减排考核。至2030年，粮食基生物燃料添加上限将大幅下降，而先进生物燃料及废弃物原料将成为政策重点支持方向。</w:t>
      </w:r>
    </w:p>
    <w:p>
      <w:r>
        <w:rPr>
          <w:rFonts w:ascii="等线(中文正文)" w:hAnsi="等线(中文正文)" w:cs="等线(中文正文)" w:eastAsia="等线(中文正文)"/>
          <w:b w:val="false"/>
          <w:i w:val="false"/>
          <w:sz w:val="20"/>
        </w:rPr>
        <w:t/>
      </w:r>
    </w:p>
    <w:p>
      <w:pPr>
        <w:pStyle w:val="ab"/>
        <w:numPr>
          <w:numId w:val="4"/>
        </w:numPr>
      </w:pPr>
      <w:r>
        <w:t>19:22 欧盟UDB系统提升行业合规门槛</w:t>
      </w:r>
    </w:p>
    <w:p>
      <w:r>
        <w:rPr>
          <w:rFonts w:ascii="等线(中文正文)" w:hAnsi="等线(中文正文)" w:cs="等线(中文正文)" w:eastAsia="等线(中文正文)"/>
          <w:b w:val="false"/>
          <w:i w:val="false"/>
          <w:sz w:val="20"/>
        </w:rPr>
        <w:t>欧盟的UDB强制追溯体系旨在提升行业合规性，要求原料全链条可追溯，禁止高生物多样性土地和高碳储量土地的原料进入市场，需通过SCC认证并接入UDB系统，以数字化记录解决双重计算和可持续性欺诈问题，覆盖液体和气态可再生燃料的全流程追溯，自ID3生效后，UDB系统已上线，强化了原料从收集到燃料投放的监管。</w:t>
      </w:r>
    </w:p>
    <w:p>
      <w:r>
        <w:rPr>
          <w:rFonts w:ascii="等线(中文正文)" w:hAnsi="等线(中文正文)" w:cs="等线(中文正文)" w:eastAsia="等线(中文正文)"/>
          <w:b w:val="false"/>
          <w:i w:val="false"/>
          <w:sz w:val="20"/>
        </w:rPr>
        <w:t/>
      </w:r>
    </w:p>
    <w:p>
      <w:pPr>
        <w:pStyle w:val="ab"/>
        <w:numPr>
          <w:numId w:val="5"/>
        </w:numPr>
      </w:pPr>
      <w:r>
        <w:t>22:48 UDB追溯体系提升餐厨提油企业优势</w:t>
      </w:r>
    </w:p>
    <w:p>
      <w:r>
        <w:rPr>
          <w:rFonts w:ascii="等线(中文正文)" w:hAnsi="等线(中文正文)" w:cs="等线(中文正文)" w:eastAsia="等线(中文正文)"/>
          <w:b w:val="false"/>
          <w:i w:val="false"/>
          <w:sz w:val="20"/>
        </w:rPr>
        <w:t>对话分析了UDB合规追溯体系对生物燃料原料市场的影响，指出餐厨提油企业因合规性和可追溯性优势，在政策倾斜下将提升行业集中度，获得原料溢价，未来在需求增长和供应刚性背景下，有望实现盈利弹性最大化。</w:t>
      </w:r>
    </w:p>
    <w:p>
      <w:r>
        <w:rPr>
          <w:rFonts w:ascii="等线(中文正文)" w:hAnsi="等线(中文正文)" w:cs="等线(中文正文)" w:eastAsia="等线(中文正文)"/>
          <w:b w:val="false"/>
          <w:i w:val="false"/>
          <w:sz w:val="20"/>
        </w:rPr>
        <w:t/>
      </w:r>
    </w:p>
    <w:p>
      <w:pPr>
        <w:pStyle w:val="a7"/>
      </w:pPr>
      <w:r>
        <w:t>发言总结</w:t>
      </w:r>
    </w:p>
    <w:p>
      <w:pPr>
        <w:pStyle w:val="ab"/>
        <w:numPr>
          <w:numId w:val="6"/>
        </w:numPr>
      </w:pPr>
      <w:r>
        <w:t>发言人1</w:t>
      </w:r>
    </w:p>
    <w:p>
      <w:r>
        <w:rPr>
          <w:rFonts w:ascii="等线(中文正文)" w:hAnsi="等线(中文正文)" w:cs="等线(中文正文)" w:eastAsia="等线(中文正文)"/>
          <w:b w:val="false"/>
          <w:i w:val="false"/>
          <w:sz w:val="20"/>
        </w:rPr>
        <w:t>首先介绍了进门财经电话会议系统的接入方法，提醒参会者输入特定密码并通过井号键结束输入。他多次表达了对参会者的感谢，并预告了会议即将开始。在会议内容方面，他简要提及了欧盟UDB追溯体系，强调了废弃油脂作为生物燃料原料的政策利好，以及餐厨提油行业的合规性和稀缺性优势。最后，他推广了关注公众号“思维纪要社”，并预告了会议结束。</w:t>
      </w:r>
    </w:p>
    <w:p>
      <w:r>
        <w:rPr>
          <w:rFonts w:ascii="等线(中文正文)" w:hAnsi="等线(中文正文)" w:cs="等线(中文正文)" w:eastAsia="等线(中文正文)"/>
          <w:b w:val="false"/>
          <w:i w:val="false"/>
          <w:sz w:val="20"/>
        </w:rPr>
        <w:t/>
      </w:r>
    </w:p>
    <w:p>
      <w:pPr>
        <w:pStyle w:val="a7"/>
      </w:pPr>
      <w:r>
        <w:t>要点回顾</w:t>
      </w:r>
    </w:p>
    <w:p>
      <w:pPr>
        <w:pStyle w:val="ab"/>
      </w:pPr>
      <w:r>
        <w:t>ID政策在原料分类管理上经历了哪三个阶段？</w:t>
      </w:r>
    </w:p>
    <w:p>
      <w:r>
        <w:rPr>
          <w:rFonts w:ascii="等线(中文正文)" w:hAnsi="等线(中文正文)" w:cs="等线(中文正文)" w:eastAsia="等线(中文正文)"/>
          <w:b w:val="false"/>
          <w:i w:val="false"/>
          <w:sz w:val="20"/>
        </w:rPr>
        <w:t>发言人1：ID政策在原料分类管理上经历了三个阶段。第一阶段始于2009年4月实施的RED的第一个版本，当时对生物燃料投料没有特别明确的限制，以植物基原料为主。第二阶段在2015年因间接土地利用变化问题而发布专项指令，并在2018年的ID第二个版本中，将间接土地利用变化管控措施纳入顶层立法，限制了棕榈油等高风险原料的添加量，并引入废弃物原料双倍积分激励政策。第三阶段为2023年开始执行的RED3，其应用范围扩展至海运、空运领域，对减排要求更为严格，并对不同类别的原料进行了分类管理。</w:t>
      </w:r>
    </w:p>
    <w:p>
      <w:r>
        <w:rPr>
          <w:rFonts w:ascii="等线(中文正文)" w:hAnsi="等线(中文正文)" w:cs="等线(中文正文)" w:eastAsia="等线(中文正文)"/>
          <w:b w:val="false"/>
          <w:i w:val="false"/>
          <w:sz w:val="20"/>
        </w:rPr>
        <w:t/>
      </w:r>
    </w:p>
    <w:p>
      <w:pPr>
        <w:pStyle w:val="ab"/>
      </w:pPr>
      <w:r>
        <w:t>RED3对先进生物燃料、废弃物和残渣以及传统作物基生物燃料分别有何管理措施？</w:t>
      </w:r>
    </w:p>
    <w:p>
      <w:r>
        <w:rPr>
          <w:rFonts w:ascii="等线(中文正文)" w:hAnsi="等线(中文正文)" w:cs="等线(中文正文)" w:eastAsia="等线(中文正文)"/>
          <w:b w:val="false"/>
          <w:i w:val="false"/>
          <w:sz w:val="20"/>
        </w:rPr>
        <w:t>发言人1：在RED3中，先进生物燃料这一类别主要包括藻类、农林废弃物和非食用纤维素材料等，这类燃料享有政策倾斜并在交通领域可获得两倍积分优惠。废弃物和残渣被归为第二类，如废弃食用油、动物油脂等，这类原料减排率高且不受间接土地利用变化惩罚，但用量上限受到限制。第三类是传统作物基生物燃料，如菜籽油、大豆油、葵花籽油、棕榈油等，它们将受到严格的用量限制和减排考核要求，到2030年，以粮食为基础的生物燃料添加上限将从7%降至3.8%。</w:t>
      </w:r>
    </w:p>
    <w:p>
      <w:r>
        <w:rPr>
          <w:rFonts w:ascii="等线(中文正文)" w:hAnsi="等线(中文正文)" w:cs="等线(中文正文)" w:eastAsia="等线(中文正文)"/>
          <w:b w:val="false"/>
          <w:i w:val="false"/>
          <w:sz w:val="20"/>
        </w:rPr>
        <w:t/>
      </w:r>
    </w:p>
    <w:p>
      <w:pPr>
        <w:pStyle w:val="ab"/>
      </w:pPr>
      <w:r>
        <w:t>UDB强制追溯体系如何影响生物燃料行业？</w:t>
      </w:r>
    </w:p>
    <w:p>
      <w:r>
        <w:rPr>
          <w:rFonts w:ascii="等线(中文正文)" w:hAnsi="等线(中文正文)" w:cs="等线(中文正文)" w:eastAsia="等线(中文正文)"/>
          <w:b w:val="false"/>
          <w:i w:val="false"/>
          <w:sz w:val="20"/>
        </w:rPr>
        <w:t>发言人1：UDB（统一生物燃料电子追溯平台）要求原料进行全链条可追溯，并需符合欧盟林毁林法案等相关法规，禁止使用特定高风险土地上的原料。UDB系统在2023年正式上线后，对生物燃料市场进行全流程数字化记录，以解决双重计价风险、规避可持续性欺诈。通过UDB的实施，合规且具备追溯能力的供应商将获得优势，尤其是餐厨废油这类更易实现合规供应的细分领域的企业，其集中度有望进一步提升，同时获得政策认可和稀缺性溢价带来的利好。</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2026-08-20T14:16:16Z</dcterms:created>
  <dc:creator>Apache POI</dc:creator>
</cp:coreProperties>
</file>