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欧林生物 260818_导读</w:t>
      </w:r>
    </w:p>
    <w:p>
      <w:pPr>
        <w:pStyle w:val="a0"/>
        <w:jc w:val="center"/>
      </w:pPr>
      <w:r>
        <w:t>2026年08月20日 08:36</w:t>
      </w:r>
    </w:p>
    <w:p>
      <w:pPr>
        <w:pStyle w:val="a7"/>
      </w:pPr>
      <w:r>
        <w:t>关键词</w:t>
      </w:r>
    </w:p>
    <w:p>
      <w:r>
        <w:rPr>
          <w:rFonts w:ascii="等线(中文正文)" w:hAnsi="等线(中文正文)" w:cs="等线(中文正文)" w:eastAsia="等线(中文正文)"/>
          <w:b w:val="false"/>
          <w:i w:val="false"/>
          <w:sz w:val="20"/>
        </w:rPr>
        <w:t xml:space="preserve">抗生素 耐药性 骨科手术 政策 临床路径 疫苗 破伤风 金浦 第二适应症 竞争格局 不良反应率 剂型 疫苗保险 分级诊疗 紧密型医共体 DID 联苗 三期临床 破伤风疫苗 金葡铜绿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讨论着重于抗生素耐药性问题及其应对策略，强调了随着抗生素发展，持续优化治疗方案的必要性。未来发展趋势涵盖骨科手术、疫苗应用及医药政策等方面，着重疫苗接种策略与国家政策的协同。生物医药企业通过国际合作、扩大产品适应症及加强内部研发，提升竞争力和市场占有率。特别关注了欧林生物在骨科和疫苗领域的进展，以及利用政策支持与技术创新促进发展。讨论还触及欧林生物在破伤风疫苗领域面临的挑战，提出通过学术合作、品牌建设及产品多元化策略应对，以实现持续的市场增长。</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抗生素耐药性挑战与骨科疫苗应用策略</w:t>
      </w:r>
    </w:p>
    <w:p>
      <w:r>
        <w:rPr>
          <w:rFonts w:ascii="等线(中文正文)" w:hAnsi="等线(中文正文)" w:cs="等线(中文正文)" w:eastAsia="等线(中文正文)"/>
          <w:b w:val="false"/>
          <w:i w:val="false"/>
          <w:sz w:val="20"/>
        </w:rPr>
        <w:t>讨论了抗生素耐药性问题的根源，包括细菌的变异性与传播机制，以及解决这一问题所需的政策支持、团队培养和系统化建设。同时，提出了将疫苗应用于骨科门诊、急诊和病房的闭环管理方案，以及通过电子处方系统提高诊疗效率的措施，以期在未来一年半内实现目标医疗机构的广泛覆盖和应用。</w:t>
      </w:r>
    </w:p>
    <w:p>
      <w:r>
        <w:rPr>
          <w:rFonts w:ascii="等线(中文正文)" w:hAnsi="等线(中文正文)" w:cs="等线(中文正文)" w:eastAsia="等线(中文正文)"/>
          <w:b w:val="false"/>
          <w:i w:val="false"/>
          <w:sz w:val="20"/>
        </w:rPr>
        <w:t/>
      </w:r>
    </w:p>
    <w:p>
      <w:pPr>
        <w:pStyle w:val="ab"/>
        <w:numPr>
          <w:numId w:val="2"/>
        </w:numPr>
      </w:pPr>
      <w:r>
        <w:t>03:49 金浦药物全球商业化与第二增长曲线展望</w:t>
      </w:r>
    </w:p>
    <w:p>
      <w:r>
        <w:rPr>
          <w:rFonts w:ascii="等线(中文正文)" w:hAnsi="等线(中文正文)" w:cs="等线(中文正文)" w:eastAsia="等线(中文正文)"/>
          <w:b w:val="false"/>
          <w:i w:val="false"/>
          <w:sz w:val="20"/>
        </w:rPr>
        <w:t>对话围绕金浦药物的全球商业化策略及未来增长点展开。首先，强调在中国骨科市场的深耕与扩展，同时展望第二适应症带来的增长潜力。其次，指出欧美市场在发病率和卫生经济学上的优势，预示其可能比中国市场拥有更高的渗透率和销售潜力。最后，提及金浦药物的全球市场与BD交易模式确定后可能带来的第二个增长曲线，包括传统里程碑支付和新药提成，预计中位数提成可达百分之十几至二十几。</w:t>
      </w:r>
    </w:p>
    <w:p>
      <w:r>
        <w:rPr>
          <w:rFonts w:ascii="等线(中文正文)" w:hAnsi="等线(中文正文)" w:cs="等线(中文正文)" w:eastAsia="等线(中文正文)"/>
          <w:b w:val="false"/>
          <w:i w:val="false"/>
          <w:sz w:val="20"/>
        </w:rPr>
        <w:t/>
      </w:r>
    </w:p>
    <w:p>
      <w:pPr>
        <w:pStyle w:val="ab"/>
        <w:numPr>
          <w:numId w:val="3"/>
        </w:numPr>
      </w:pPr>
      <w:r>
        <w:t>05:47 破伤风疫苗市场潜力与竞争格局分析</w:t>
      </w:r>
    </w:p>
    <w:p>
      <w:r>
        <w:rPr>
          <w:rFonts w:ascii="等线(中文正文)" w:hAnsi="等线(中文正文)" w:cs="等线(中文正文)" w:eastAsia="等线(中文正文)"/>
          <w:b w:val="false"/>
          <w:i w:val="false"/>
          <w:sz w:val="20"/>
        </w:rPr>
        <w:t>对话围绕破伤风疫苗的市场渗透率提升、影响因素及未来竞争格局展开讨论。预计未来3至5年内，全国医疗机构资质获取率将提升至较高水平，市场潜力巨大。欧林生物凭借产品质量、品牌建设、多样化剂型及三重保险等优势，有望在竞争中保持领先地位。同时，通过分级诊疗和紧密型医共体建设，提升服务质量和患者便利性，进一步巩固市场地位。</w:t>
      </w:r>
    </w:p>
    <w:p>
      <w:r>
        <w:rPr>
          <w:rFonts w:ascii="等线(中文正文)" w:hAnsi="等线(中文正文)" w:cs="等线(中文正文)" w:eastAsia="等线(中文正文)"/>
          <w:b w:val="false"/>
          <w:i w:val="false"/>
          <w:sz w:val="20"/>
        </w:rPr>
        <w:t/>
      </w:r>
    </w:p>
    <w:p>
      <w:pPr>
        <w:pStyle w:val="ab"/>
        <w:numPr>
          <w:numId w:val="4"/>
        </w:numPr>
      </w:pPr>
      <w:r>
        <w:t>13:19 金普郡药品监管申请与临床性价比讨论</w:t>
      </w:r>
    </w:p>
    <w:p>
      <w:r>
        <w:rPr>
          <w:rFonts w:ascii="等线(中文正文)" w:hAnsi="等线(中文正文)" w:cs="等线(中文正文)" w:eastAsia="等线(中文正文)"/>
          <w:b w:val="false"/>
          <w:i w:val="false"/>
          <w:sz w:val="20"/>
        </w:rPr>
        <w:t>对话围绕金普郡药品的国内监管申请进度及临床性价比展开。药品在完成临床总结报告后，将提交NDA并申请优先审评，目标于年内完成进展。同时，讨论了药品作为单苗及连苗的定价与性价比，强调了与骨科手术价格的对比及患者体验的重要性。</w:t>
      </w:r>
    </w:p>
    <w:p>
      <w:r>
        <w:rPr>
          <w:rFonts w:ascii="等线(中文正文)" w:hAnsi="等线(中文正文)" w:cs="等线(中文正文)" w:eastAsia="等线(中文正文)"/>
          <w:b w:val="false"/>
          <w:i w:val="false"/>
          <w:sz w:val="20"/>
        </w:rPr>
        <w:t/>
      </w:r>
    </w:p>
    <w:p>
      <w:pPr>
        <w:pStyle w:val="ab"/>
        <w:numPr>
          <w:numId w:val="5"/>
        </w:numPr>
      </w:pPr>
      <w:r>
        <w:t>15:23 创新疫苗定价与市场策略探讨</w:t>
      </w:r>
    </w:p>
    <w:p>
      <w:r>
        <w:rPr>
          <w:rFonts w:ascii="等线(中文正文)" w:hAnsi="等线(中文正文)" w:cs="等线(中文正文)" w:eastAsia="等线(中文正文)"/>
          <w:b w:val="false"/>
          <w:i w:val="false"/>
          <w:sz w:val="20"/>
        </w:rPr>
        <w:t>对话围绕创新疫苗的价格设定、市场预期及未来发展规划展开。当前治疗费用因感染耐药菌可增至15-18万，而新疫苗定价预计不超过2000元/季，旨在减轻患者负担。公司正推进联合疫苗研发，包括针对创伤领域的金葡和破伤风联苗，以实现双重预防效果。同时，计划与医疗机构紧密合作，优化医疗服务流程，提升临床使用率，确保患者获得一站式预防与治疗方案。未来价格调整将依据国家政策及业务发展动态进行。</w:t>
      </w:r>
    </w:p>
    <w:p>
      <w:r>
        <w:rPr>
          <w:rFonts w:ascii="等线(中文正文)" w:hAnsi="等线(中文正文)" w:cs="等线(中文正文)" w:eastAsia="等线(中文正文)"/>
          <w:b w:val="false"/>
          <w:i w:val="false"/>
          <w:sz w:val="20"/>
        </w:rPr>
        <w:t/>
      </w:r>
    </w:p>
    <w:p>
      <w:pPr>
        <w:pStyle w:val="ab"/>
        <w:numPr>
          <w:numId w:val="6"/>
        </w:numPr>
      </w:pPr>
      <w:r>
        <w:t>19:11 三期临床报告与压疮适应症推进计划</w:t>
      </w:r>
    </w:p>
    <w:p>
      <w:r>
        <w:rPr>
          <w:rFonts w:ascii="等线(中文正文)" w:hAnsi="等线(中文正文)" w:cs="等线(中文正文)" w:eastAsia="等线(中文正文)"/>
          <w:b w:val="false"/>
          <w:i w:val="false"/>
          <w:sz w:val="20"/>
        </w:rPr>
        <w:t>对话讨论了三期临床报告的预计披露时间、方式及核心增量，预计本月内完成并以自愿性公告形式披露；同时提及压疮适应症的推进节奏，计划年内完成相关工作，与第一适应症紧密关联。</w:t>
      </w:r>
    </w:p>
    <w:p>
      <w:r>
        <w:rPr>
          <w:rFonts w:ascii="等线(中文正文)" w:hAnsi="等线(中文正文)" w:cs="等线(中文正文)" w:eastAsia="等线(中文正文)"/>
          <w:b w:val="false"/>
          <w:i w:val="false"/>
          <w:sz w:val="20"/>
        </w:rPr>
        <w:t/>
      </w:r>
    </w:p>
    <w:p>
      <w:pPr>
        <w:pStyle w:val="ab"/>
        <w:numPr>
          <w:numId w:val="7"/>
        </w:numPr>
      </w:pPr>
      <w:r>
        <w:t>21:31 公司疫苗平台建设与授权模式探讨</w:t>
      </w:r>
    </w:p>
    <w:p>
      <w:r>
        <w:rPr>
          <w:rFonts w:ascii="等线(中文正文)" w:hAnsi="等线(中文正文)" w:cs="等线(中文正文)" w:eastAsia="等线(中文正文)"/>
          <w:b w:val="false"/>
          <w:i w:val="false"/>
          <w:sz w:val="20"/>
        </w:rPr>
        <w:t>讨论了公司疫苗平台的建设进展及授权模式，包括可能的多管线授权、工艺相似产品的打包授权，以及未来与国际市场的交易结构制定策略，强调了平台性与多元化授权的重要性。</w:t>
      </w:r>
    </w:p>
    <w:p>
      <w:r>
        <w:rPr>
          <w:rFonts w:ascii="等线(中文正文)" w:hAnsi="等线(中文正文)" w:cs="等线(中文正文)" w:eastAsia="等线(中文正文)"/>
          <w:b w:val="false"/>
          <w:i w:val="false"/>
          <w:sz w:val="20"/>
        </w:rPr>
        <w:t/>
      </w:r>
    </w:p>
    <w:p>
      <w:pPr>
        <w:pStyle w:val="ab"/>
        <w:numPr>
          <w:numId w:val="8"/>
        </w:numPr>
      </w:pPr>
      <w:r>
        <w:t>24:49 破伤风疫苗销售增长停滞与复苏分析</w:t>
      </w:r>
    </w:p>
    <w:p>
      <w:r>
        <w:rPr>
          <w:rFonts w:ascii="等线(中文正文)" w:hAnsi="等线(中文正文)" w:cs="等线(中文正文)" w:eastAsia="等线(中文正文)"/>
          <w:b w:val="false"/>
          <w:i w:val="false"/>
          <w:sz w:val="20"/>
        </w:rPr>
        <w:t>对话讨论了破伤风疫苗在2024至2025年间销售增长停滞的原因，以及随后复苏的背景。停滞主要归因于疫情后医疗机构推进疫苗接种服务的周期较长，缺乏顶层设计，导致增长缓慢。2025年初，国家出台医防协同政策，要求医疗机构配备疾控监督员，加速了疫苗接种服务的普及。此外，AI技术的应用帮助医生快速规范诊疗行为，缩短了行为转变周期，从而推动了疫苗销售的复苏。</w:t>
      </w:r>
    </w:p>
    <w:p>
      <w:r>
        <w:rPr>
          <w:rFonts w:ascii="等线(中文正文)" w:hAnsi="等线(中文正文)" w:cs="等线(中文正文)" w:eastAsia="等线(中文正文)"/>
          <w:b w:val="false"/>
          <w:i w:val="false"/>
          <w:sz w:val="20"/>
        </w:rPr>
        <w:t/>
      </w:r>
    </w:p>
    <w:p>
      <w:pPr>
        <w:pStyle w:val="ab"/>
        <w:numPr>
          <w:numId w:val="9"/>
        </w:numPr>
      </w:pPr>
      <w:r>
        <w:t>30:49 欧明生物：新适应症开发与全球市场拓展策略</w:t>
      </w:r>
    </w:p>
    <w:p>
      <w:r>
        <w:rPr>
          <w:rFonts w:ascii="等线(中文正文)" w:hAnsi="等线(中文正文)" w:cs="等线(中文正文)" w:eastAsia="等线(中文正文)"/>
          <w:b w:val="false"/>
          <w:i w:val="false"/>
          <w:sz w:val="20"/>
        </w:rPr>
        <w:t>投资者询问关于新适应症开发，特别是腹部开放手术等大型手术的应用计划及难点，公司回应将与监管沟通，考虑全院外科手术的外推，并确认亚创作为第二适应症的开发。管理层总结2026年上半年经营稳健，下半年重点包括主业增长、金福郡三期临床后的生产注册与海外市场谈判，以及口服幽门螺杆菌疫苗的临床前研究，强调创新与全球疫苗双轮驱动战略，致力于为投资者创造长期价值。</w:t>
      </w:r>
    </w:p>
    <w:p>
      <w:r>
        <w:rPr>
          <w:rFonts w:ascii="等线(中文正文)" w:hAnsi="等线(中文正文)" w:cs="等线(中文正文)" w:eastAsia="等线(中文正文)"/>
          <w:b w:val="false"/>
          <w:i w:val="false"/>
          <w:sz w:val="20"/>
        </w:rPr>
        <w:t/>
      </w:r>
    </w:p>
    <w:p>
      <w:pPr>
        <w:pStyle w:val="a7"/>
      </w:pPr>
      <w:r>
        <w:t>发言总结</w:t>
      </w:r>
    </w:p>
    <w:p>
      <w:pPr>
        <w:pStyle w:val="ab"/>
        <w:numPr>
          <w:numId w:val="10"/>
        </w:numPr>
      </w:pPr>
      <w:r>
        <w:t>发言人1</w:t>
      </w:r>
    </w:p>
    <w:p>
      <w:r>
        <w:rPr>
          <w:rFonts w:ascii="等线(中文正文)" w:hAnsi="等线(中文正文)" w:cs="等线(中文正文)" w:eastAsia="等线(中文正文)"/>
          <w:b w:val="false"/>
          <w:i w:val="false"/>
          <w:sz w:val="20"/>
        </w:rPr>
        <w:t>着重讨论了抗生素耐药性问题，指出抗生素抗药性的增强要求治疗策略和使用方法不断调整。他们强调，在未来，骨科手术、疫苗应用以及政策支持等方面将面临新的挑战和机遇。他着重提到了政策制定、应用场景开发、数据共享、专家共识和技术培训的重要性，同时也讨论了跨国合作、疫苗市场的潜力，特别是在不同市场的疫苗应用前景和策略，如破伤风疫苗。
此外，他详细介绍了金浦的三期临床试验进展、定价策略以及对未来增长的预期，并讨论了与国际药企的合作、疫苗的全球商业化，以及疫苗市场在不同疾病领域的扩展计划。他们还谈到了疫苗接种、治疗费用、以及患者对疫苗的需求和适应症的拓展计划，对投资者和合作方表达了展望。总之，他的发言覆盖了对抗生素耐药性的应对策略、疫苗的未来应用、以及跨领域合作的重要性。</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问：在抗生素对抗耐药菌的过程中，抗生素如何应对？</w:t>
      </w:r>
    </w:p>
    <w:p>
      <w:r>
        <w:rPr>
          <w:rFonts w:ascii="等线(中文正文)" w:hAnsi="等线(中文正文)" w:cs="等线(中文正文)" w:eastAsia="等线(中文正文)"/>
          <w:b w:val="false"/>
          <w:i w:val="false"/>
          <w:sz w:val="20"/>
        </w:rPr>
        <w:t>发言人1 答：在抗生素不断升级的过程中，耐药菌会通过识别抗生素的进攻并进行变化，如改变颜色、远程传播以及适应不同药物环境以避免伤害，这种动态对抗机制导致了耐药现象的滋生。</w:t>
      </w:r>
    </w:p>
    <w:p>
      <w:r>
        <w:rPr>
          <w:rFonts w:ascii="等线(中文正文)" w:hAnsi="等线(中文正文)" w:cs="等线(中文正文)" w:eastAsia="等线(中文正文)"/>
          <w:b w:val="false"/>
          <w:i w:val="false"/>
          <w:sz w:val="20"/>
        </w:rPr>
        <w:t/>
      </w:r>
    </w:p>
    <w:p>
      <w:pPr>
        <w:pStyle w:val="ab"/>
      </w:pPr>
      <w:r>
        <w:t>发言人1 问：商业化布局方面，有哪些关键步骤和政策需要关注？</w:t>
      </w:r>
    </w:p>
    <w:p>
      <w:r>
        <w:rPr>
          <w:rFonts w:ascii="等线(中文正文)" w:hAnsi="等线(中文正文)" w:cs="等线(中文正文)" w:eastAsia="等线(中文正文)"/>
          <w:b w:val="false"/>
          <w:i w:val="false"/>
          <w:sz w:val="20"/>
        </w:rPr>
        <w:t>发言人1 答：商业化布局首先需要政策层面的支持，包括国家疾控局、卫健委的相关政策，并在数据完整后与顶层专家达成共识，制定产品应用场景、适应症和临床路径。同时，推动国家指南、诊疗规范及GDB标准落实到各级医疗机构，预计一年半内完成这一过程。</w:t>
      </w:r>
    </w:p>
    <w:p>
      <w:r>
        <w:rPr>
          <w:rFonts w:ascii="等线(中文正文)" w:hAnsi="等线(中文正文)" w:cs="等线(中文正文)" w:eastAsia="等线(中文正文)"/>
          <w:b w:val="false"/>
          <w:i w:val="false"/>
          <w:sz w:val="20"/>
        </w:rPr>
        <w:t/>
      </w:r>
    </w:p>
    <w:p>
      <w:pPr>
        <w:pStyle w:val="ab"/>
      </w:pPr>
      <w:r>
        <w:t>发言人1 问：如何系统化地培养临床应用团队并解决疫苗资质问题？</w:t>
      </w:r>
    </w:p>
    <w:p>
      <w:r>
        <w:rPr>
          <w:rFonts w:ascii="等线(中文正文)" w:hAnsi="等线(中文正文)" w:cs="等线(中文正文)" w:eastAsia="等线(中文正文)"/>
          <w:b w:val="false"/>
          <w:i w:val="false"/>
          <w:sz w:val="20"/>
        </w:rPr>
        <w:t>发言人1 答：在骨科领域，团队需系统化培养，借鉴欧林在土壤中的优势，解决临床应用疫苗的资质问题，实现门诊、急诊和病房的无缝对接，构建电子处方嵌入式系统，辅助医生提高诊疗效率和准确性。</w:t>
      </w:r>
    </w:p>
    <w:p>
      <w:r>
        <w:rPr>
          <w:rFonts w:ascii="等线(中文正文)" w:hAnsi="等线(中文正文)" w:cs="等线(中文正文)" w:eastAsia="等线(中文正文)"/>
          <w:b w:val="false"/>
          <w:i w:val="false"/>
          <w:sz w:val="20"/>
        </w:rPr>
        <w:t/>
      </w:r>
    </w:p>
    <w:p>
      <w:pPr>
        <w:pStyle w:val="ab"/>
      </w:pPr>
      <w:r>
        <w:t>发言人1 问：金浦在全球商业化方面的规划是怎样的？</w:t>
      </w:r>
    </w:p>
    <w:p>
      <w:r>
        <w:rPr>
          <w:rFonts w:ascii="等线(中文正文)" w:hAnsi="等线(中文正文)" w:cs="等线(中文正文)" w:eastAsia="等线(中文正文)"/>
          <w:b w:val="false"/>
          <w:i w:val="false"/>
          <w:sz w:val="20"/>
        </w:rPr>
        <w:t>发言人1 答：金浦将首先在中国做好骨科市场的拓展，同时考虑到欧美市场的发病率和卫生经济学数据，该市场渗透率可能高于中国，成为销售主力。此外，金浦还注重第二适应症的发展，这将成为其长期增长曲线的重要组成部分。</w:t>
      </w:r>
    </w:p>
    <w:p>
      <w:r>
        <w:rPr>
          <w:rFonts w:ascii="等线(中文正文)" w:hAnsi="等线(中文正文)" w:cs="等线(中文正文)" w:eastAsia="等线(中文正文)"/>
          <w:b w:val="false"/>
          <w:i w:val="false"/>
          <w:sz w:val="20"/>
        </w:rPr>
        <w:t/>
      </w:r>
    </w:p>
    <w:p>
      <w:pPr>
        <w:pStyle w:val="ab"/>
      </w:pPr>
      <w:r>
        <w:t>发言人1 问：对于破伤风疫苗在国内的长期商业化，渗透率预计会提升到什么水平？</w:t>
      </w:r>
    </w:p>
    <w:p>
      <w:r>
        <w:rPr>
          <w:rFonts w:ascii="等线(中文正文)" w:hAnsi="等线(中文正文)" w:cs="等线(中文正文)" w:eastAsia="等线(中文正文)"/>
          <w:b w:val="false"/>
          <w:i w:val="false"/>
          <w:sz w:val="20"/>
        </w:rPr>
        <w:t>发言人1 答：国内破伤风疫苗市场的渗透率在未来3到5年内有望提升，应用场景广泛，目前部分省份医疗机构资质获取率较低，但随着国家规范的推动和卫生经济学考量，预计整体市场将迅速扩大。欧林生物作为市场主要获益者，将通过建立良好的学术合作、品牌推广（如通过真实世界研究显示良好的安全性）、提供齐全剂型和规格的产品等方式来保持市场份额并拓展市场。</w:t>
      </w:r>
    </w:p>
    <w:p>
      <w:r>
        <w:rPr>
          <w:rFonts w:ascii="等线(中文正文)" w:hAnsi="等线(中文正文)" w:cs="等线(中文正文)" w:eastAsia="等线(中文正文)"/>
          <w:b w:val="false"/>
          <w:i w:val="false"/>
          <w:sz w:val="20"/>
        </w:rPr>
        <w:t/>
      </w:r>
    </w:p>
    <w:p>
      <w:pPr>
        <w:pStyle w:val="ab"/>
      </w:pPr>
      <w:r>
        <w:t>发言人1 问：欧林生物如何通过紧密型医共体单位推动分级诊疗和疫苗接种工作？</w:t>
      </w:r>
    </w:p>
    <w:p>
      <w:r>
        <w:rPr>
          <w:rFonts w:ascii="等线(中文正文)" w:hAnsi="等线(中文正文)" w:cs="等线(中文正文)" w:eastAsia="等线(中文正文)"/>
          <w:b w:val="false"/>
          <w:i w:val="false"/>
          <w:sz w:val="20"/>
        </w:rPr>
        <w:t>发言人1 答：欧林生物正在帮助县级紧密型医共体单位建设分级诊疗体系，首针疫苗接种通常在主委单位即县级人民医院进行。对于需要二三针疫苗的无免疫史人群，通过紧密型医共体单位传播和培训至各级乡镇卫生院，确保患者能够就近完成全疗程疫苗接种。</w:t>
      </w:r>
    </w:p>
    <w:p>
      <w:r>
        <w:rPr>
          <w:rFonts w:ascii="等线(中文正文)" w:hAnsi="等线(中文正文)" w:cs="等线(中文正文)" w:eastAsia="等线(中文正文)"/>
          <w:b w:val="false"/>
          <w:i w:val="false"/>
          <w:sz w:val="20"/>
        </w:rPr>
        <w:t/>
      </w:r>
    </w:p>
    <w:p>
      <w:pPr>
        <w:pStyle w:val="ab"/>
      </w:pPr>
      <w:r>
        <w:t>发言人1 问：欧林生物在疫苗服务方面提供了哪些保障措施？</w:t>
      </w:r>
    </w:p>
    <w:p>
      <w:r>
        <w:rPr>
          <w:rFonts w:ascii="等线(中文正文)" w:hAnsi="等线(中文正文)" w:cs="等线(中文正文)" w:eastAsia="等线(中文正文)"/>
          <w:b w:val="false"/>
          <w:i w:val="false"/>
          <w:sz w:val="20"/>
        </w:rPr>
        <w:t>发言人1 答：欧林生物提供了三重保险保障，包括产品质量险、AIF不良反应保险以及突破病例每人50万的保障。此外，公司进行了长达4000公里的多温区实验，确保疫苗运输过程中的质量，并已实现超过2000万字销售量及连续九年的市占率第一数据。</w:t>
      </w:r>
    </w:p>
    <w:p>
      <w:r>
        <w:rPr>
          <w:rFonts w:ascii="等线(中文正文)" w:hAnsi="等线(中文正文)" w:cs="等线(中文正文)" w:eastAsia="等线(中文正文)"/>
          <w:b w:val="false"/>
          <w:i w:val="false"/>
          <w:sz w:val="20"/>
        </w:rPr>
        <w:t/>
      </w:r>
    </w:p>
    <w:p>
      <w:pPr>
        <w:pStyle w:val="ab"/>
      </w:pPr>
      <w:r>
        <w:t>发言人1 问：金普药品国内注册监管的时间节奏以及产品性价比如何？</w:t>
      </w:r>
    </w:p>
    <w:p>
      <w:r>
        <w:rPr>
          <w:rFonts w:ascii="等线(中文正文)" w:hAnsi="等线(中文正文)" w:cs="等线(中文正文)" w:eastAsia="等线(中文正文)"/>
          <w:b w:val="false"/>
          <w:i w:val="false"/>
          <w:sz w:val="20"/>
        </w:rPr>
        <w:t>发言人1 答：金库郡国内监管申请进展方面，公司在完成临床总结报告后，将会向国家CDE申请推进NDA，并同步开展1.1类原创新药优先审评。预计在今年年底前正式递交NBA生产注册，并经历生产工艺现场检查等一系列工作，整个过程预计用时一年以上。</w:t>
      </w:r>
    </w:p>
    <w:p>
      <w:r>
        <w:rPr>
          <w:rFonts w:ascii="等线(中文正文)" w:hAnsi="等线(中文正文)" w:cs="等线(中文正文)" w:eastAsia="等线(中文正文)"/>
          <w:b w:val="false"/>
          <w:i w:val="false"/>
          <w:sz w:val="20"/>
        </w:rPr>
        <w:t/>
      </w:r>
    </w:p>
    <w:p>
      <w:pPr>
        <w:pStyle w:val="ab"/>
      </w:pPr>
      <w:r>
        <w:t>发言人1 问：金普药品的定价策略及未来是否会考虑推出2秒联苗？</w:t>
      </w:r>
    </w:p>
    <w:p>
      <w:r>
        <w:rPr>
          <w:rFonts w:ascii="等线(中文正文)" w:hAnsi="等线(中文正文)" w:cs="等线(中文正文)" w:eastAsia="等线(中文正文)"/>
          <w:b w:val="false"/>
          <w:i w:val="false"/>
          <w:sz w:val="20"/>
        </w:rPr>
        <w:t>发言人1 答：关于金普药品定价，预计单个疗程费用可控制在5到8万之间，而感染金土耐药菌后的治疗费用可能增加至15万至18万。关于定价，目前尚未最终确定，但已知的是定价不会超过每剂2000元，具体价格将根据公司推进情况及市场反应调整。同时，未来会考虑推出耐药性联苗和创伤领域的金普联苗，尤其是进口适应症和破伤风适应症完全重叠的人群可先行采用联合应用，以实现双重保护并降低感染风险。此外，公司将致力于优化医疗服务，使精准疫苗和破伤风疫苗成为临床必须产品，与各级医疗机构紧密合作。</w:t>
      </w:r>
    </w:p>
    <w:p>
      <w:r>
        <w:rPr>
          <w:rFonts w:ascii="等线(中文正文)" w:hAnsi="等线(中文正文)" w:cs="等线(中文正文)" w:eastAsia="等线(中文正文)"/>
          <w:b w:val="false"/>
          <w:i w:val="false"/>
          <w:sz w:val="20"/>
        </w:rPr>
        <w:t/>
      </w:r>
    </w:p>
    <w:p>
      <w:pPr>
        <w:pStyle w:val="ab"/>
      </w:pPr>
      <w:r>
        <w:t>发言人1 问：金普药品三期报告读出的时间、披露方式及其核心增量是什么？</w:t>
      </w:r>
    </w:p>
    <w:p>
      <w:r>
        <w:rPr>
          <w:rFonts w:ascii="等线(中文正文)" w:hAnsi="等线(中文正文)" w:cs="等线(中文正文)" w:eastAsia="等线(中文正文)"/>
          <w:b w:val="false"/>
          <w:i w:val="false"/>
          <w:sz w:val="20"/>
        </w:rPr>
        <w:t>发言人1 答：预计在上个月拿到三期临床建模结果后，通过资源性披露的形式及时披露出来。按照计划，第三方统计方将在收到初步三期数据后约一个多月完成所有数据汇总，最终出具完整的CSR报告进行披露。</w:t>
      </w:r>
    </w:p>
    <w:p>
      <w:r>
        <w:rPr>
          <w:rFonts w:ascii="等线(中文正文)" w:hAnsi="等线(中文正文)" w:cs="等线(中文正文)" w:eastAsia="等线(中文正文)"/>
          <w:b w:val="false"/>
          <w:i w:val="false"/>
          <w:sz w:val="20"/>
        </w:rPr>
        <w:t/>
      </w:r>
    </w:p>
    <w:p>
      <w:pPr>
        <w:pStyle w:val="ab"/>
      </w:pPr>
      <w:r>
        <w:t>发言人1 问：公司预计何时能完成并披露完整的CSR报告？</w:t>
      </w:r>
    </w:p>
    <w:p>
      <w:r>
        <w:rPr>
          <w:rFonts w:ascii="等线(中文正文)" w:hAnsi="等线(中文正文)" w:cs="等线(中文正文)" w:eastAsia="等线(中文正文)"/>
          <w:b w:val="false"/>
          <w:i w:val="false"/>
          <w:sz w:val="20"/>
        </w:rPr>
        <w:t>发言人1 答：我们预计在本月内，也就是8月18号之后，能够完成相关的流程并获得完整的报告。届时我们会以自愿性披露公告的形式向投资者公布，并视情况决定是否需要再次召开电话会议进行交流。</w:t>
      </w:r>
    </w:p>
    <w:p>
      <w:r>
        <w:rPr>
          <w:rFonts w:ascii="等线(中文正文)" w:hAnsi="等线(中文正文)" w:cs="等线(中文正文)" w:eastAsia="等线(中文正文)"/>
          <w:b w:val="false"/>
          <w:i w:val="false"/>
          <w:sz w:val="20"/>
        </w:rPr>
        <w:t/>
      </w:r>
    </w:p>
    <w:p>
      <w:pPr>
        <w:pStyle w:val="ab"/>
      </w:pPr>
      <w:r>
        <w:t>发言人1 问：关于压疮适应症，公司的后续推进节奏是怎样的？</w:t>
      </w:r>
    </w:p>
    <w:p>
      <w:r>
        <w:rPr>
          <w:rFonts w:ascii="等线(中文正文)" w:hAnsi="等线(中文正文)" w:cs="等线(中文正文)" w:eastAsia="等线(中文正文)"/>
          <w:b w:val="false"/>
          <w:i w:val="false"/>
          <w:sz w:val="20"/>
        </w:rPr>
        <w:t>发言人1 答：对于压疮适应症，我们计划与第一适应症紧密配合，预计在今年内完成两个适应症的工作，即交NBA和第二适应症的推进。</w:t>
      </w:r>
    </w:p>
    <w:p>
      <w:r>
        <w:rPr>
          <w:rFonts w:ascii="等线(中文正文)" w:hAnsi="等线(中文正文)" w:cs="等线(中文正文)" w:eastAsia="等线(中文正文)"/>
          <w:b w:val="false"/>
          <w:i w:val="false"/>
          <w:sz w:val="20"/>
        </w:rPr>
        <w:t/>
      </w:r>
    </w:p>
    <w:p>
      <w:pPr>
        <w:pStyle w:val="ab"/>
      </w:pPr>
      <w:r>
        <w:t>发言人1 问：公司在疫苗领域的平台建设现状如何，以及未来的授权策略是怎样的？</w:t>
      </w:r>
    </w:p>
    <w:p>
      <w:r>
        <w:rPr>
          <w:rFonts w:ascii="等线(中文正文)" w:hAnsi="等线(中文正文)" w:cs="等线(中文正文)" w:eastAsia="等线(中文正文)"/>
          <w:b w:val="false"/>
          <w:i w:val="false"/>
          <w:sz w:val="20"/>
        </w:rPr>
        <w:t>发言人1 答：我们在与MNC的合作和未来交易结构中，可能会采取更接近平台化的策略。我们不仅考虑单个产品或单个适应症的license out，还可能将第二适应症、接种程序以及同一程序下不同区域的许可打包授权。同时，我们还包含了工艺相似的产品如金葡铜绿等在内的平台性授权，并且有可能将医院感染性疾病等相关领域纳入交易结构中。随着BD交易的成熟，我们将根据对方市场需求和条件，调整BD的宽度和广度。</w:t>
      </w:r>
    </w:p>
    <w:p>
      <w:r>
        <w:rPr>
          <w:rFonts w:ascii="等线(中文正文)" w:hAnsi="等线(中文正文)" w:cs="等线(中文正文)" w:eastAsia="等线(中文正文)"/>
          <w:b w:val="false"/>
          <w:i w:val="false"/>
          <w:sz w:val="20"/>
        </w:rPr>
        <w:t/>
      </w:r>
    </w:p>
    <w:p>
      <w:pPr>
        <w:pStyle w:val="ab"/>
      </w:pPr>
      <w:r>
        <w:t>发言人1 问：为什么公司在2024到2025年在扩大销售冠疫苗方面出现过阶段性停滞，而现在又重新回到增长轨道？</w:t>
      </w:r>
    </w:p>
    <w:p>
      <w:r>
        <w:rPr>
          <w:rFonts w:ascii="等线(中文正文)" w:hAnsi="等线(中文正文)" w:cs="等线(中文正文)" w:eastAsia="等线(中文正文)"/>
          <w:b w:val="false"/>
          <w:i w:val="false"/>
          <w:sz w:val="20"/>
        </w:rPr>
        <w:t>发言人1 答：关于破伤风疫苗，2024年到2025年的销售增长确实经历了一个阶段性的放缓。在2024年度，由于缺乏顶层整体设计和医疗机构推进疫苗接种服务周期较长（平均24个月到36个月），导致增长较缓慢。但在2025年底，国家出台了相关政策文件，要求医疗机构进行医防协同、医防融合并配备疾控监督员职责，使得二级及以上医疗机构能够更快地开展疫苗接种服务，从而缓解了周期，提升了销售增长速度。</w:t>
      </w:r>
    </w:p>
    <w:p>
      <w:r>
        <w:rPr>
          <w:rFonts w:ascii="等线(中文正文)" w:hAnsi="等线(中文正文)" w:cs="等线(中文正文)" w:eastAsia="等线(中文正文)"/>
          <w:b w:val="false"/>
          <w:i w:val="false"/>
          <w:sz w:val="20"/>
        </w:rPr>
        <w:t/>
      </w:r>
    </w:p>
    <w:p>
      <w:pPr>
        <w:pStyle w:val="ab"/>
      </w:pPr>
      <w:r>
        <w:t>发言人1 问：在AI技术的应用中，您觉得它在推进质控管理方面有哪些便利性和规范诊疗的效果？</w:t>
      </w:r>
    </w:p>
    <w:p>
      <w:r>
        <w:rPr>
          <w:rFonts w:ascii="等线(中文正文)" w:hAnsi="等线(中文正文)" w:cs="等线(中文正文)" w:eastAsia="等线(中文正文)"/>
          <w:b w:val="false"/>
          <w:i w:val="false"/>
          <w:sz w:val="20"/>
        </w:rPr>
        <w:t>发言人1 答：AI技术的应用大大提升了质控管理效率，将原本12个月的过程压缩至6个月甚至3到6个月，并且找到了便捷的手段辅助医生进行规范诊疗。</w:t>
      </w:r>
    </w:p>
    <w:p>
      <w:r>
        <w:rPr>
          <w:rFonts w:ascii="等线(中文正文)" w:hAnsi="等线(中文正文)" w:cs="等线(中文正文)" w:eastAsia="等线(中文正文)"/>
          <w:b w:val="false"/>
          <w:i w:val="false"/>
          <w:sz w:val="20"/>
        </w:rPr>
        <w:t/>
      </w:r>
    </w:p>
    <w:p>
      <w:pPr>
        <w:pStyle w:val="ab"/>
      </w:pPr>
      <w:r>
        <w:t>发言人1 问：公司是否有针对除疫苗以外其他适应症（如腹部开放手术）的开发计划？对于未来开发新适应症的难点和进展如何？</w:t>
      </w:r>
    </w:p>
    <w:p>
      <w:r>
        <w:rPr>
          <w:rFonts w:ascii="等线(中文正文)" w:hAnsi="等线(中文正文)" w:cs="等线(中文正文)" w:eastAsia="等线(中文正文)"/>
          <w:b w:val="false"/>
          <w:i w:val="false"/>
          <w:sz w:val="20"/>
        </w:rPr>
        <w:t>发言人1 答：公司目前更倾向于从骨科向颧骨科外推，对于腹部外科手术这类适应症，若条件允许，会直接与监管机构沟通进行全院外科手术的外推。同时，已确认并完成一轮PND沟通的是亚创适应症。随着三期报告CSR的进一步读出和分层验证，基于年龄段和基础免疫状态的不同，会给到更大的信心去推广新的适应症。未来将会有更多数量价值的数据读取，届时可以再次解读适应症的外推及桥接等内容。</w:t>
      </w:r>
    </w:p>
    <w:p>
      <w:r>
        <w:rPr>
          <w:rFonts w:ascii="等线(中文正文)" w:hAnsi="等线(中文正文)" w:cs="等线(中文正文)" w:eastAsia="等线(中文正文)"/>
          <w:b w:val="false"/>
          <w:i w:val="false"/>
          <w:sz w:val="20"/>
        </w:rPr>
        <w:t/>
      </w:r>
    </w:p>
    <w:p>
      <w:pPr>
        <w:pStyle w:val="ab"/>
      </w:pPr>
      <w:r>
        <w:t>发言人1 问：对于公司2026年上半年经营情况以及下半年重点工作的总结是什么？</w:t>
      </w:r>
    </w:p>
    <w:p>
      <w:r>
        <w:rPr>
          <w:rFonts w:ascii="等线(中文正文)" w:hAnsi="等线(中文正文)" w:cs="等线(中文正文)" w:eastAsia="等线(中文正文)"/>
          <w:b w:val="false"/>
          <w:i w:val="false"/>
          <w:sz w:val="20"/>
        </w:rPr>
        <w:t>发言人1 答：公司上半年实现了稳健增长，核心产品保持市场领先地位，尽管净利润受一次性补税等因素有所波动，但已处理完毕，对未来经营情况不会产生持续影响。下半年重点包括夯实主业，推进金福郡三期临床成功后的生产注册申报及海外MA项目谈判，以填补全球市场的空白；同时，高度重视口服幽门螺杆菌疫苗的研发，争取尽快推进到临床阶段。公司坚信创新和稳健经营，致力于为投资者创造长期价值，并坚持超级细菌疫苗和全球疫苗双轮驱动的战略路径。</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2026-08-20T00:52:38Z</dcterms:created>
  <dc:creator>Apache POI</dc:creator>
</cp:coreProperties>
</file>