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欧林生物 260818_原文</w:t>
      </w:r>
    </w:p>
    <w:p>
      <w:pPr>
        <w:jc w:val="center"/>
      </w:pPr>
      <w:r>
        <w:rPr>
          <w:rFonts w:ascii="等线(中文正文)" w:hAnsi="等线(中文正文)" w:cs="等线(中文正文)" w:eastAsia="等线(中文正文)"/>
          <w:b w:val="false"/>
          <w:i w:val="false"/>
          <w:sz w:val="20"/>
        </w:rPr>
        <w:t>2026年08月20日 08:36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所以我们在抗生素一代又一代的增值当中，我们会发现说就是魔高一尺要道高一丈。它识别了你的抗生素对它的进攻以后，它会变换颜色。然后他还会有一个比较聪明的地方，就是菌毛和菌毛不要接触，它还可以远程传播，就是会告诉你可能这一类的药物对你的伤害。所以他就可能会在这个治疗的过程中不断的变化，这就滋生了耐药的这样的一个不断的发生。所以有多种因素导致了我们这样的一个情况。未来我们也可以看到整个排期的骨科的手术的大概每年从封闭式骨折到未来的排期手术等等这样的一个应用场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00:59</w:t>
      </w:r>
    </w:p>
    <w:p>
      <w:r>
        <w:rPr>
          <w:rFonts w:ascii="等线(中文正文)" w:hAnsi="等线(中文正文)" w:cs="等线(中文正文)" w:eastAsia="等线(中文正文)"/>
          <w:b w:val="false"/>
          <w:i w:val="false"/>
          <w:sz w:val="20"/>
        </w:rPr>
        <w:t>实际上如果说未来进行商业化的这个布局的话，第一个还是要从政策层面。除了我刚才讲到的国家疾控局，国家卫健委的这种政策以外，我们还是要落实到应用场景。我们肯定首先要做的第一步就是能够在整个数据完整出来以后，在短时间内与专家们顶层的专家们达成一个专家共识。关于这个产品未来的应用的场景，适应症以及临床路径的这样的一个出台。同时要更多的推动国家更高层面的文件，比如指南、诊疗规范以及我们国家的GDB的这种标准来落实到各级医疗机构。就是可能未来在一年半之内要去走的这样的一个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w:t>
      </w:r>
    </w:p>
    <w:p>
      <w:r>
        <w:rPr>
          <w:rFonts w:ascii="等线(中文正文)" w:hAnsi="等线(中文正文)" w:cs="等线(中文正文)" w:eastAsia="等线(中文正文)"/>
          <w:b w:val="false"/>
          <w:i w:val="false"/>
          <w:sz w:val="20"/>
        </w:rPr>
        <w:t>除了这个政策以外，还要团队的系统化的这样的一个培养。大家都知道临床应用疫苗一样会遇到疫苗资质的问题。所以在欧林的这个土壤当中，关于临床应用的疫苗可能是比较有天然的这样的一个优势在扩张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02:24</w:t>
      </w:r>
    </w:p>
    <w:p>
      <w:r>
        <w:rPr>
          <w:rFonts w:ascii="等线(中文正文)" w:hAnsi="等线(中文正文)" w:cs="等线(中文正文)" w:eastAsia="等线(中文正文)"/>
          <w:b w:val="false"/>
          <w:i w:val="false"/>
          <w:sz w:val="20"/>
        </w:rPr>
        <w:t>从去年开始已经在应用拓展到骨科。那么如何在骨科的门诊住院部实现门诊可以门诊药房处方以后闭环，然后到急诊科接种疫苗。那么病房的可以实现常常接种，这样就减少了未来艰苦上来以后，在骨科的应用的这样的重新走破伤风的这样的一个路径。在路径依赖上我们可以更好的去拓展，然后来解决各20级以上医疗机构，目标医疗机构的这样的一个通路。同时有了临床路径和政策以后，还是要进行嵌入到我们处方习惯当中中的这个系统和pass系统的这样的一个系统性的帮助，辅助于医生的这样的一个提醒。就是我们在这种目标的患者出现的时候，直接能够电子处方嵌入其中，这样可以大大提高医生诊疗行为的效率和准确性。就是可能在这个从政策到团队到体系化建设，以及未来我们需要走的这个一年半的路径的基本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03:49</w:t>
      </w:r>
    </w:p>
    <w:p>
      <w:r>
        <w:rPr>
          <w:rFonts w:ascii="等线(中文正文)" w:hAnsi="等线(中文正文)" w:cs="等线(中文正文)" w:eastAsia="等线(中文正文)"/>
          <w:b w:val="false"/>
          <w:i w:val="false"/>
          <w:sz w:val="20"/>
        </w:rPr>
        <w:t>这位老师您看看还有没有需要我补充的，谢谢你。谢谢楚总，非常感谢。然后我我我是丹丹，我就楚总我就简单的补充一下。因为刚才说BD出海那个事儿，然后又问到金浦的长期商业化，我就正好补充一下。因为在和国际MEC交流的过程当中，我们其实在谈交易结构，还有就是未来可能的合作方向的时候，我们也谈到金浦的一个全球的商业化的一个情况，我觉得也是分享给投资者做一个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04:24</w:t>
      </w:r>
    </w:p>
    <w:p>
      <w:r>
        <w:rPr>
          <w:rFonts w:ascii="等线(中文正文)" w:hAnsi="等线(中文正文)" w:cs="等线(中文正文)" w:eastAsia="等线(中文正文)"/>
          <w:b w:val="false"/>
          <w:i w:val="false"/>
          <w:sz w:val="20"/>
        </w:rPr>
        <w:t>因为大家知道我们现在是骨科适应症。齐总刚才也详细的介绍了，接下来我们怎么准备去在中国把我们的第一个本土的市场给做好做大。大家也知道我们今年会晚一些报。第二实名制压仓。其实这个在欧美市场，从它的发病率，还有整个的卫生经济学来说，有可能这个市场未来会比中国的市场它的渗透率会更大，整个的销售也会更被MNC在这个适应证上看好。所以金浦我觉得第一个我们要做好的是中国骨科市场，以及骨科向全院的一个外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另外就是第二适应症，我觉得它的第二增长曲线，就长期来看，金浦为公司的报表的贡献可能是在基地。除了传统的up from和milestone，还有这个一类新药。我估计可能常规能做到一个中位数百分之十几二十几的一个loyalty的提成。所以我觉得从新浦73.25往后看的话，我们更看好的是它全球的一个市场，以及在BD落地以后，交易模式确定以后，可能带来的第二个增长曲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05:47</w:t>
      </w:r>
    </w:p>
    <w:p>
      <w:r>
        <w:rPr>
          <w:rFonts w:ascii="等线(中文正文)" w:hAnsi="等线(中文正文)" w:cs="等线(中文正文)" w:eastAsia="等线(中文正文)"/>
          <w:b w:val="false"/>
          <w:i w:val="false"/>
          <w:sz w:val="20"/>
        </w:rPr>
        <w:t>就补充一下刚才国联老师提到的关于长期商业化的这个问题，谢谢谢谢樊总的补充，下面有请中信建投的老师提问。好的，感谢公司管理层给我提问的机会。我是中信建投的分析师潘然。我主要是想针对破伤风疫苗这块体验问题，主要想问一下我们认为未来的国内扩张风疫苗这块儿渗透率我们觉得会提升到一个怎样的水平。然后这个提升空间的话取决于哪些因素的一个变化，以及我们如何看待这个狂潮风疫苗未来的一个竞争格局，主要是这个问题。对的，谢谢这位孙权老师。针对您的问题，我做以下的三个方面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其实整个扩张中的市场是比较潜力是非常大的，就是应用场景也是非常多的。现在整个的二级及以上医疗机构有获取到疫苗资质的，能够进行国家规范处置的。从像重庆较高的这样的一个整体的医疗机构的资质的获取，从70%到全国较低的个别省份的20%的医疗机构可以实现疫苗接种的这样的一个场景。所以在未来的3到5年，我觉得基本上可以拉平到像重庆的这样的一个基本面。另外一个，我们也做了一个每万人的整个会发送医疗的贡献率的一个回顾。我们会发现较高的省份大概在每万人的贡献率在70G就全国最高的省份是每万0 77。我觉得在未来的，所以目前最低的大概在每万人20只左右的这样的一个水分。那么在通过三年。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07:58</w:t>
      </w:r>
    </w:p>
    <w:p>
      <w:r>
        <w:rPr>
          <w:rFonts w:ascii="等线(中文正文)" w:hAnsi="等线(中文正文)" w:cs="等线(中文正文)" w:eastAsia="等线(中文正文)"/>
          <w:b w:val="false"/>
          <w:i w:val="false"/>
          <w:sz w:val="20"/>
        </w:rPr>
        <w:t>情况，当然法院。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08:29</w:t>
      </w:r>
    </w:p>
    <w:p>
      <w:r>
        <w:rPr>
          <w:rFonts w:ascii="等线(中文正文)" w:hAnsi="等线(中文正文)" w:cs="等线(中文正文)" w:eastAsia="等线(中文正文)"/>
          <w:b w:val="false"/>
          <w:i w:val="false"/>
          <w:sz w:val="20"/>
        </w:rPr>
        <w:t>十从卫生经济学的角度，从国家规范的角度不断的去推动以后，整个市场也会迅速的扩大。可能大家都知道欧林生物目前是市场比蛋糕扩大的同时，欧林肯定也是最大的获益者。这个我觉得对未来是比较值得看好的。可能刚才老师没有提到的，我相信大家也是会比较关心的几个问题。就是说在这样竞争格局下，欧林怎么去做到既能够保住基本盘还能够去拓展，因为未来肯定会出现说一定份额的下降。那么怎么样让蛋糕变得越来越大？怎么样在下降份额的时候，我尽量让份额下降的速度能够变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09:16</w:t>
      </w:r>
    </w:p>
    <w:p>
      <w:r>
        <w:rPr>
          <w:rFonts w:ascii="等线(中文正文)" w:hAnsi="等线(中文正文)" w:cs="等线(中文正文)" w:eastAsia="等线(中文正文)"/>
          <w:b w:val="false"/>
          <w:i w:val="false"/>
          <w:sz w:val="20"/>
        </w:rPr>
        <w:t>第一个就是要建立长期的这样的一个良好的学术的合作的同时，要建立欧银利安的品牌。从这个真实世研究，就最大样本量的用于创伤的这个真实事件研究当中发现奥地利安的这个不良反应率是所有产品当中最低的。每万人的发生率仅为百3.88，就每十万的发生率为3.88。这个就是是同类产品发生率的3分之1，就是只占整个市场发生率的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09:53</w:t>
      </w:r>
    </w:p>
    <w:p>
      <w:r>
        <w:rPr>
          <w:rFonts w:ascii="等线(中文正文)" w:hAnsi="等线(中文正文)" w:cs="等线(中文正文)" w:eastAsia="等线(中文正文)"/>
          <w:b w:val="false"/>
          <w:i w:val="false"/>
          <w:sz w:val="20"/>
        </w:rPr>
        <w:t>另外一个奥林提供了各种剂型的这样的一个使用，是目前市面上企业当中或西部扩张中疫苗的规格是最全的，既有西林品又有御通。同时我们每一个规格都含有VVM标签的独立的标段，既有高标段又有低低价格的低标段。同时真正的产品的质量过硬，也是品牌推进的很重要的一个点。就是欧林利安是它的售价是每次达到108，是国家标准的2.5倍。这也是目前市场当中售价最稳定售价的这个率是整个产品的保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10:44</w:t>
      </w:r>
    </w:p>
    <w:p>
      <w:r>
        <w:rPr>
          <w:rFonts w:ascii="等线(中文正文)" w:hAnsi="等线(中文正文)" w:cs="等线(中文正文)" w:eastAsia="等线(中文正文)"/>
          <w:b w:val="false"/>
          <w:i w:val="false"/>
          <w:sz w:val="20"/>
        </w:rPr>
        <w:t>同时可能除了这些以外，我们还有疫苗的三重保护。大家都知道现在国家基层医疗师都在积极的推进分级诊疗。欧林生物也在帮县级的紧密型医共体单位去建设分级诊疗的这样的一个工作。从破伤风来讲，救治要到县级人民医院，就是我们紧密型医共体的主委单位。那么可能首针疫苗的接种会在这个医疗单位。但是大家都知道无免疫史的人群还有二三针。所以怎么样让患者就近能够接种到23针的疫苗，是通过紧密型医共体的单位去传播和培训到各级乡镇卫生院。同样的同质化的预防处置的这样的一个推动，便利于老百姓以患者为中心提供更高质量的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11:43</w:t>
      </w:r>
    </w:p>
    <w:p>
      <w:r>
        <w:rPr>
          <w:rFonts w:ascii="等线(中文正文)" w:hAnsi="等线(中文正文)" w:cs="等线(中文正文)" w:eastAsia="等线(中文正文)"/>
          <w:b w:val="false"/>
          <w:i w:val="false"/>
          <w:sz w:val="20"/>
        </w:rPr>
        <w:t>同时奥林利安提供三同的意保险，疫苗保险，从产品质量险到AIF不良反应的保险，以及到突破病例每人的50万的这样的一个保障。就三重保险的这样的一保障，也能够使得这个整体提供更高的服务质量。同时还有就是奥利利安是做了三个温区的实验，长达4000公里的这样的一个实验。从低温常温到高温的多温区，来保证疫苗运输过程当中的质量过硬。在这样的情况下，截止目前为止，我们已经超过2000万字的这样的一个销售，连续九年的市占率第一的这样的一个数据。所以在这样的合作做的情况下，我相信不仅帮助我们这个疾控中心建立更好的这样的一个服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同时也帮助各级医疗机构符合国家政策的要求的这样的一个分级诊疗，紧密型医共体的这样的一个建设，我们在不断的推进和落实。郑强老师您看看还有没有什么我要补充的，谢谢您。好的，感谢曹总，讲的非常详细，我这边没有其他问题了。有请下一位老师先。下面有请柏海的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13:19</w:t>
      </w:r>
    </w:p>
    <w:p>
      <w:r>
        <w:rPr>
          <w:rFonts w:ascii="等线(中文正文)" w:hAnsi="等线(中文正文)" w:cs="等线(中文正文)" w:eastAsia="等线(中文正文)"/>
          <w:b w:val="false"/>
          <w:i w:val="false"/>
          <w:sz w:val="20"/>
        </w:rPr>
        <w:t>下面有请柏海。公司领导好，我是国海医药您新东。我这边也是围绕着金浦在提两个问题。一个是因为大家也就记录的三期的数据，那后面的整个监管的时间就是国内的注册监管的时间的这个节奏大概是怎么样的。第二个的话就是我还是会关心说这个产品它在临床上的性价比。因为现在我们是一个单秒，那我们将来可能会做连秒。我不知道我们将来的可能的定价，包括和这个手比如说骨科手术的价格，包括这样一个患者的性价比的体感可能会在大概达到一个水平。包括将来可能连苗会把这个问题达到什么一个水，主要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14:02</w:t>
      </w:r>
    </w:p>
    <w:p>
      <w:r>
        <w:rPr>
          <w:rFonts w:ascii="等线(中文正文)" w:hAnsi="等线(中文正文)" w:cs="等线(中文正文)" w:eastAsia="等线(中文正文)"/>
          <w:b w:val="false"/>
          <w:i w:val="false"/>
          <w:sz w:val="20"/>
        </w:rPr>
        <w:t>好的，谢谢林总。因为第一个问题比较简单，我就这边来回答了一下小班长。您提到的那个金库郡国内的监管的申请按照目前我们公司目前的进展，我们在拿到完整的临床总结报告以后，我们会会同其他的包括我们CMC的资料，临床前其他的研究会下一步去向国家的cde申请推NDA。在推NDA沟通的同时，我们也会同步的开展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14:36</w:t>
      </w:r>
    </w:p>
    <w:p>
      <w:r>
        <w:rPr>
          <w:rFonts w:ascii="等线(中文正文)" w:hAnsi="等线(中文正文)" w:cs="等线(中文正文)" w:eastAsia="等线(中文正文)"/>
          <w:b w:val="false"/>
          <w:i w:val="false"/>
          <w:sz w:val="20"/>
        </w:rPr>
        <w:t>因为是1.1类的原创新药同步的去沟通这个优先审评。那么这两步做完以后，我们就会正式的去递交NBA生产注册。按目前的进展，我们是希望在今年年底前能够达到这么一个进展的一个情况。在这个正式NBA受理以后，我相信各位投资人老师也知道，我们还会尽力到国家局对我们生产工艺现场的检查，还有GMP的复合性检查等一系列工作。整个用时，我们预计也会在一年以上的一个时间，这个就是一个总体的在我们金普郡三期结盟成功以后，在未来一段时间我们进步俊生产注册的一个进展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15:24</w:t>
      </w:r>
    </w:p>
    <w:p>
      <w:r>
        <w:rPr>
          <w:rFonts w:ascii="等线(中文正文)" w:hAnsi="等线(中文正文)" w:cs="等线(中文正文)" w:eastAsia="等线(中文正文)"/>
          <w:b w:val="false"/>
          <w:i w:val="false"/>
          <w:sz w:val="20"/>
        </w:rPr>
        <w:t>接下来您的第二个问题是关于进步俊定价。我这是请到我们的楚总来回答，楚总，谢谢。感谢这位老师的提问。大家可以手机上查数据都可以看到。一般我们这个排泄手术封闭式骨折的这患者，从原来的没有过请关注公众号思维纪要社，更多纪要请加V西安2021013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15:53</w:t>
      </w:r>
    </w:p>
    <w:p>
      <w:r>
        <w:rPr>
          <w:rFonts w:ascii="等线(中文正文)" w:hAnsi="等线(中文正文)" w:cs="等线(中文正文)" w:eastAsia="等线(中文正文)"/>
          <w:b w:val="false"/>
          <w:i w:val="false"/>
          <w:sz w:val="20"/>
        </w:rPr>
        <w:t>零开始的时候，整个的治疗费用大概在十多万陆那大概基本上可以控制在5到8万的这样的一个数据。但是一旦感染以后就感染金土耐药菌的感染以后，基本上可能治疗的费用会增加到15万到18万。我们目前也跟很多的专家已经开始沟通和交流，对大家的这个心理的预期是什么样的。目具体的价格目前没有定，但是有一个是基本上可以确定的，是定价不会超过每季2000元的这样的一个价格。具体的可能还是要等公司的正式的这样的往前推进以后，不断的来看市场的一个反应程度。同时大家可能也会关心说，他会不会将来受DID的影响等等。这个虽然没有提问，但是我不相信大家会比较关心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16:51</w:t>
      </w:r>
    </w:p>
    <w:p>
      <w:r>
        <w:rPr>
          <w:rFonts w:ascii="等线(中文正文)" w:hAnsi="等线(中文正文)" w:cs="等线(中文正文)" w:eastAsia="等线(中文正文)"/>
          <w:b w:val="false"/>
          <w:i w:val="false"/>
          <w:sz w:val="20"/>
        </w:rPr>
        <w:t>就这个问题，我们也和医保局的相关的这样的一个专家进行了一些沟通。目前国家是有政策的，对于1.1类的创新，这个在DRG的考核里面是相对有国家的政策的支持的。那么未来可能还是会运行，2到3年以后，我估计国家也会希望说还是进入国。那个时候的价格，可能在三年以后会做略微的一个调整，所以那个价格调整还是要看国家的政策的推进和整个业务发展的一个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17:25</w:t>
      </w:r>
    </w:p>
    <w:p>
      <w:r>
        <w:rPr>
          <w:rFonts w:ascii="等线(中文正文)" w:hAnsi="等线(中文正文)" w:cs="等线(中文正文)" w:eastAsia="等线(中文正文)"/>
          <w:b w:val="false"/>
          <w:i w:val="false"/>
          <w:sz w:val="20"/>
        </w:rPr>
        <w:t>第二个就是第二个问题当中的第二部分，老师刚才提到了说未来是否会考虑2秒？首先我觉得联苗是肯定要往前去推进的。不管是耐药性的联苗也好，还是在创伤领域的金浦和破伤风的联苗，这是肯定要往前去推进的。但是这个金股上市以后，有一点是可以马上做的，是就是未来在这个呃进口的适应症和破伤风的适应症是完全重叠的。这些人群可以先从联合应用开始，到以及未来的这个联合疫苗的出台，不断的去铺路，就是一次的这样的一个预防，左右胳膊的接种能够带来双重的保护，避免两个感染性疾病的这样的感染的风险，不断的去做好这样骨科的深耕。然后未来在临床上的这种，建立更高的商业的壁垒，让整个的创伤后的预防，在欧洲的推动下，能让患者从治疗到预防提供一站式的医疗服务，以优化医疗服务，以患者为中心让整个临床必须要用到的像精准疫苗和破伤风疫苗，成为临床的必须产品。然后跟各级医疗机构做好紧密的合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18:57</w:t>
      </w:r>
    </w:p>
    <w:p>
      <w:r>
        <w:rPr>
          <w:rFonts w:ascii="等线(中文正文)" w:hAnsi="等线(中文正文)" w:cs="等线(中文正文)" w:eastAsia="等线(中文正文)"/>
          <w:b w:val="false"/>
          <w:i w:val="false"/>
          <w:sz w:val="20"/>
        </w:rPr>
        <w:t>这样这位老师您看看还有没有要我补充的，谢谢你。好，谢谢吴总，谢谢徐总。我这边把话筒交给主持人。谢谢吴总和邱总。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19:11</w:t>
      </w:r>
    </w:p>
    <w:p>
      <w:r>
        <w:rPr>
          <w:rFonts w:ascii="等线(中文正文)" w:hAnsi="等线(中文正文)" w:cs="等线(中文正文)" w:eastAsia="等线(中文正文)"/>
          <w:b w:val="false"/>
          <w:i w:val="false"/>
          <w:sz w:val="20"/>
        </w:rPr>
        <w:t>接下来我在华图提一下问题，就是有两个问题。第一个问题是金普军完整的一个三期报告读出的时间是预计是什么时候？披露方式是怎么样的？会有哪些核心增量？就是先第一个问题。好的，这个问题也比较简单，小范同学我代为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因为按我们的计划，我们是在上个月拿到了三期临床的建模结果。也是拿到结果以后，我们第一时间通过这个资源性披露的形式披露出来。我们预计按之前的交流，大概就是说在拿到这个初步三期天芒期货以后，会给到第三方统计方大概一个多月的时间，他会把所有的数据汇总，也走完相应的流程以后，就可以有拿到完整的CSR的报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20:08</w:t>
      </w:r>
    </w:p>
    <w:p>
      <w:r>
        <w:rPr>
          <w:rFonts w:ascii="等线(中文正文)" w:hAnsi="等线(中文正文)" w:cs="等线(中文正文)" w:eastAsia="等线(中文正文)"/>
          <w:b w:val="false"/>
          <w:i w:val="false"/>
          <w:sz w:val="20"/>
        </w:rPr>
        <w:t>请关注公众号思维纪要社，更多纪要请加V西安20210130。按我们目前掌握的情况，我们预计会在本月内也就会很快了。因为今天是8月18号的，也就是把星期的时间，我们相信就可以走完相应的流程，获得完整的报告。届时我们也会是跟上一次一样，以自愿性披露公告的形式，给到各位投资者。那个时候也会根据情况看有没有必要再就完整的CSR的报告再开一次电话会议做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20:48</w:t>
      </w:r>
    </w:p>
    <w:p>
      <w:r>
        <w:rPr>
          <w:rFonts w:ascii="等线(中文正文)" w:hAnsi="等线(中文正文)" w:cs="等线(中文正文)" w:eastAsia="等线(中文正文)"/>
          <w:b w:val="false"/>
          <w:i w:val="false"/>
          <w:sz w:val="20"/>
        </w:rPr>
        <w:t>谢谢谢谢吴总。华福这边第二个问题是压疮适应症，我们后续的一个推进节奏是怎么样的？行看第二适应症的话，我请到小潘总您这边来来回答一下。好的，谢谢主持人。关于压疮，其实因为我们是拓适应症，和我们现在的第一适应症是密不可分的。所以我们会随着这个交NBA，然后第二适应症基本上是前后脚，我们今年是年内要完成这两个工作。谢谢谢谢樊总，下面有请天生的老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21:33</w:t>
      </w:r>
    </w:p>
    <w:p>
      <w:r>
        <w:rPr>
          <w:rFonts w:ascii="等线(中文正文)" w:hAnsi="等线(中文正文)" w:cs="等线(中文正文)" w:eastAsia="等线(中文正文)"/>
          <w:b w:val="false"/>
          <w:i w:val="false"/>
          <w:sz w:val="20"/>
        </w:rPr>
        <w:t>好的，谢谢管理层给我这个提问的机会。我是天风医药的吴卓瑾，我主要想请教一下公司，因为之前也提到过说如果是滴滴的话，可能还是以平台的方式。想再进一步请教一下平台的方式是指整个研发平台可能授权，还是说多个管线授权，以及公司目前在疫苗这方面平台建设的如何？谢谢。好的，谢谢。请小潘总回答，谢谢。好的，谢谢田方的老师。对，我们多次都有提到，就是在和MNC还有未来的这个交易结构上面，我们可能会去往平台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22:16</w:t>
      </w:r>
    </w:p>
    <w:p>
      <w:r>
        <w:rPr>
          <w:rFonts w:ascii="等线(中文正文)" w:hAnsi="等线(中文正文)" w:cs="等线(中文正文)" w:eastAsia="等线(中文正文)"/>
          <w:b w:val="false"/>
          <w:i w:val="false"/>
          <w:sz w:val="20"/>
        </w:rPr>
        <w:t>因为一个是我们觉得金浦它最大的价值，或者是第二增长曲线，可能是在国外一些欧美市场，在经济还有卫生经济学大家更理解充分的地方。所以我们其实不是单一的只做一个单产品，一个单适应症的一个license out。现在我们很难说最后的BD的平台它是一个小平台。比如说我是把第二适应症，第二个就是接种程序，以及对同一个程序下面不同的区域这样去做一个license out。还是说我们有可能把同样是蛋白的铜率，因为前段时间大家也看到我们有公告。同时我们是完成了play IND在今年年内也是我们研发的一个节点工作必须要完成的，也要做到IND，红绿也是由周教授的团队一起类似的工艺，所以我们说的平台也含着金葡铜绿这样工艺相似，左记相似的这种平台性的。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也有可能就是把院感一起做在这个交易的结构里面，包括我们后面还会有饱满，费克就是一系列的医院感染性疾病做一个打包，当然现在我们也看到，尤其疫情以后，中国的出海的这种多样化、多元化各种形式。有的他们是以纽扣或者是产权，这是在另外一个国家再去做一次的这种上市，其实我们都有看到。所以随着这个BD的交易的成熟，我相信未来我们可能面临的在谈判过程当中，也会根据对方的条件。比如说对方是一个以欧美市场还是以一个全球市场院感有优势的。所以我们再来制定这个BD的一个宽度和广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24:12</w:t>
      </w:r>
    </w:p>
    <w:p>
      <w:r>
        <w:rPr>
          <w:rFonts w:ascii="等线(中文正文)" w:hAnsi="等线(中文正文)" w:cs="等线(中文正文)" w:eastAsia="等线(中文正文)"/>
          <w:b w:val="false"/>
          <w:i w:val="false"/>
          <w:sz w:val="20"/>
        </w:rPr>
        <w:t>谢谢先锋老师，我不知道这样可不可以好理解一些，可以的，非常清楚。谢谢小凡总。那那我这边没有问题了，不客气。好的，那我们接下来接入投资者提问，麻烦会议秘书播报一下提问方式，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24:50</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各位领导好，就是我这边线上有一些投资者提问，就是我代为播报一下。第一个问题就是这位投资者想了解一下，为什么我们在2024到2025年扩销冠疫苗是增长出现过阶段性的停滞，现在又重新回到了一个增长轨道，这个背后的原因麻烦领导们看图解答一下，谢谢。您博远能是能具体刚才没听清楚是哪几年。您说的那个时间说是24到25年，2242024到2025年是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25:51</w:t>
      </w:r>
    </w:p>
    <w:p>
      <w:r>
        <w:rPr>
          <w:rFonts w:ascii="等线(中文正文)" w:hAnsi="等线(中文正文)" w:cs="等线(中文正文)" w:eastAsia="等线(中文正文)"/>
          <w:b w:val="false"/>
          <w:i w:val="false"/>
          <w:sz w:val="20"/>
        </w:rPr>
        <w:t>对，然后就投这位投资者的问题，说是他认为公司的破伤风疫苗从2024年到2025年有短暂的没有增长吗？他是他的问题。对，他是这个意思。好的，因为可能我们先把那个情况请到楚总讲一讲。我们楚总您讲一讲咱们破山峰2024年、2025年的销售的情况。好的，整个从2023年的这样的一个，就是从2000年开始疫情的开始，到整个的医疗机构的推进。那么在缺乏我们我刚才讲到的这个顶层的整体的设计，应该是在整体的2024年度，相对来讲增长就较缓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26:59</w:t>
      </w:r>
    </w:p>
    <w:p>
      <w:r>
        <w:rPr>
          <w:rFonts w:ascii="等线(中文正文)" w:hAnsi="等线(中文正文)" w:cs="等线(中文正文)" w:eastAsia="等线(中文正文)"/>
          <w:b w:val="false"/>
          <w:i w:val="false"/>
          <w:sz w:val="20"/>
        </w:rPr>
        <w:t>还是刚才我讲到的，就是没有找到一个比较快速的能够推进。就是我们讲到的一家医疗机构要开展疫苗接种服务，基本上平均全国的周期在24个月到36个月左右的这样的一个周期。但是在2025年，我们在国家的从2024年年底，2025年年初，国家陆续出台了关于整个雷海潮主任提出的医防协同，医防融合要求，进行复合型人才的这样的一个培养。就是一防管复合型人才的培养的这种要求落实到各级医疗机构，同时各级医疗机构需要配备疾控监督员职责的这样的一个要求。所以在2025年的年底，就出台了二级及以上医疗机构的这样的一个，关于要求开展疫苗接种服务的这个政策文件以后，整个的周期得到了很大的一个缓解。所以整个政策可能在我们国内还是非常有有一定的影响，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28:22</w:t>
      </w:r>
    </w:p>
    <w:p>
      <w:r>
        <w:rPr>
          <w:rFonts w:ascii="等线(中文正文)" w:hAnsi="等线(中文正文)" w:cs="等线(中文正文)" w:eastAsia="等线(中文正文)"/>
          <w:b w:val="false"/>
          <w:i w:val="false"/>
          <w:sz w:val="20"/>
        </w:rPr>
        <w:t>第二个就是没有找到一个路径。就比如说我们急诊科，它其实是一个特别是综合性的大医院里面，是一个轮转的科室。比如说我们可能一个医生拿到规范以后，他要应用，他是不是在这个应用的场景，基本上要21天到30天才能养成国家规范诊疗的这样的一个习惯。但是可能他从毕业从规培到他现在的这个接触诊疗规范的过程当中，一直使用的是一直使用的是一直使用的是整个的我们被动免疫制剂。那么在这样的一个情况下，我们如果说要使得行为的这样的一个改变，确实是需要我们整体的这样的一个可能培养医生的又要习惯的这样的一个过程。就是学术上的更多的培训，参加更多的这种交流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29:31</w:t>
      </w:r>
    </w:p>
    <w:p>
      <w:r>
        <w:rPr>
          <w:rFonts w:ascii="等线(中文正文)" w:hAnsi="等线(中文正文)" w:cs="等线(中文正文)" w:eastAsia="等线(中文正文)"/>
          <w:b w:val="false"/>
          <w:i w:val="false"/>
          <w:sz w:val="20"/>
        </w:rPr>
        <w:t>所以急诊科，我们固定的一般大的三甲，急诊科的这个外科可能从五十几个人到100多人不等。但是轮流它是每个月轮岗到急诊外科，所以就这样一百多个人。如果要养成规范的明确到诊疗行为当中的习惯，大概在66到12个月，也就是他要轮上6到12次以后，他才能够所以没有找到一个比较好的办法的时候，确实我们在推动这项工作的时候，而成为了较大的这样的一个主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30:10</w:t>
      </w:r>
    </w:p>
    <w:p>
      <w:r>
        <w:rPr>
          <w:rFonts w:ascii="等线(中文正文)" w:hAnsi="等线(中文正文)" w:cs="等线(中文正文)" w:eastAsia="等线(中文正文)"/>
          <w:b w:val="false"/>
          <w:i w:val="false"/>
          <w:sz w:val="20"/>
        </w:rPr>
        <w:t>但是我刚才也介绍了，就是可能从去年开始就找到了一个相对比较便捷或者是辅助的AI的这在AI的推进的过程当中，以及质控管理的过程当中，在逐步找到这样的一个比较便利或者是帮助医生规范诊疗的一些手段。那么在这样的过程当中，大大压缩了从12个月压缩说到6个月或者3到6个月的这样的一个过程。这位老师您看还有使用呼叫保持服务，请不要挂机。好的，谢谢楚总和吴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30:49</w:t>
      </w:r>
    </w:p>
    <w:p>
      <w:r>
        <w:rPr>
          <w:rFonts w:ascii="等线(中文正文)" w:hAnsi="等线(中文正文)" w:cs="等线(中文正文)" w:eastAsia="等线(中文正文)"/>
          <w:b w:val="false"/>
          <w:i w:val="false"/>
          <w:sz w:val="20"/>
        </w:rPr>
        <w:t>然后我这边就是投资者还有一个问题是，先不用疫苗其他的适应症，比如说腹部开放手术这种大型的，我们公司后面是否有开发计划？像还有像这种适应症，它的开发难点是什么？好的，关于第二新证，请到小凡总回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31:13</w:t>
      </w:r>
    </w:p>
    <w:p>
      <w:r>
        <w:rPr>
          <w:rFonts w:ascii="等线(中文正文)" w:hAnsi="等线(中文正文)" w:cs="等线(中文正文)" w:eastAsia="等线(中文正文)"/>
          <w:b w:val="false"/>
          <w:i w:val="false"/>
          <w:sz w:val="20"/>
        </w:rPr>
        <w:t>好的，谢谢这位投资者的关注。我们可能更多的是从骨科往颧骨科外推，因为我们这个是比较适合我们现在这个接种程序。然后第二适应症，刚才那位投资者提到的腹部的这种外科手术。我知道之前在欧美的一些大药厂，他们是有做过类似这样的ICU，还有开胸这些手术。那我们可能会直接如果条件允许，我们会和监管沟通，去做直接的全院的外科手术的一个外推。然后另外我们现在是已经确认的，而且也已经有一轮PND沟通的是亚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31:57</w:t>
      </w:r>
    </w:p>
    <w:p>
      <w:r>
        <w:rPr>
          <w:rFonts w:ascii="等线(中文正文)" w:hAnsi="等线(中文正文)" w:cs="等线(中文正文)" w:eastAsia="等线(中文正文)"/>
          <w:b w:val="false"/>
          <w:i w:val="false"/>
          <w:sz w:val="20"/>
        </w:rPr>
        <w:t>尤其是随着我们的三期报告CSR的进一步的读出和进一步的分层，按照年龄段，按照这种不同的基础免疫的进一步验证，我觉得也会给到我们更大的信心去推这个新的适应症。很快大家也就会看到更多的更有数量价值的一个读取在数据上面。我觉得那个时候就可以我们一起再做一次解读，回答大家关于适应症，关于国外怎么看它的一个外推，还有桥接的一些内容。好的，我的回答大概是这样。好的，谢谢张总。我们时间也将近1个小时了，要不最后麻烦管理层帮我们做一个总结。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32:57</w:t>
      </w:r>
    </w:p>
    <w:p>
      <w:r>
        <w:rPr>
          <w:rFonts w:ascii="等线(中文正文)" w:hAnsi="等线(中文正文)" w:cs="等线(中文正文)" w:eastAsia="等线(中文正文)"/>
          <w:b w:val="false"/>
          <w:i w:val="false"/>
          <w:sz w:val="20"/>
        </w:rPr>
        <w:t>首先非常感谢各位投资者对欧明的关注，也提了很多专业的问题。最后也借此机会简单讲几句，2026年上半年公司经营情况整体是实现了稳健的增长。我们的核心产品的破伤风持续的保持市场的领先地位。规模净利润受一次性补税和滞纳金会有一些波动，但这个事情已经处理完毕，我们相信在未来对公司的经营情况不会发生持续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33:33</w:t>
      </w:r>
    </w:p>
    <w:p>
      <w:r>
        <w:rPr>
          <w:rFonts w:ascii="等线(中文正文)" w:hAnsi="等线(中文正文)" w:cs="等线(中文正文)" w:eastAsia="等线(中文正文)"/>
          <w:b w:val="false"/>
          <w:i w:val="false"/>
          <w:sz w:val="20"/>
        </w:rPr>
        <w:t>展望整个下半年的公司的重点，主要是三个方面。一我们会继续夯实我们的主业，把我们的这个西湖观山峰继续的保持有序稳健的增长，稳住我们的基本盘。第二，在金福郡三期临床成功揭榜以后，我们会加快我们生产注册的申报，同时积极的去拓展我们跟海外MA这个项目的谈判，我们去谋求探索全球市场的价值的变现。那么这个项目如果顺利推进，我们是可以填补到这个市场的全球空白。第三，其实在整个公司的研发管线里面，我们也非常看重我们现有的这个口服的幽门螺杆菌疫苗，也会作为继清之后我们下一个在临床前研究的重点项目，我们也是希望尽快的推进到上临床。那后续的工作也在有序的推进中。从长远来看，公司对整个创新是充满了信心。然后我们会坚定的原则，超级细菌疫苗加全球疫苗的双轮驱动的战略路径走下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34:47</w:t>
      </w:r>
    </w:p>
    <w:p>
      <w:r>
        <w:rPr>
          <w:rFonts w:ascii="等线(中文正文)" w:hAnsi="等线(中文正文)" w:cs="等线(中文正文)" w:eastAsia="等线(中文正文)"/>
          <w:b w:val="false"/>
          <w:i w:val="false"/>
          <w:sz w:val="20"/>
        </w:rPr>
        <w:t>持续的去做研发的突破和稳健的经营，努力的为投资者创造长期的价值，我们相信我们把创新做扎实，业绩做扎实，才是对各位投资者最好回报。最后再次的感谢各位投资者，谢谢谢谢吴总，谢谢各管理层的一个精彩介绍。然后也谢谢各位友商老师和投资者的这个提问，谢谢。希望大家后续继续支持欧林生物，我们今天的会议就先到这里。好的，谢谢，再见。好，再见。再见，各位好，拜拜。感谢大家参。</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E6636BB100BBAFBB4581D91E6DDB8A04434DBE8C03FDD4D0AA24463F47DFE5FA4E0B9DEC4B52ECD4A81A974E121F400D5962E4C3135B28BB51355C765E02CE3FC239435</vt:lpwstr>
  </property>
</Properties>
</file>