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金田股份 260819_导读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金田股份 AI算力 铜合金材料 散热铜材 新能源汽车 绿色再生铜 海外布局 稀土磁材 市场空间 产能利用率 技术迭代 竞争优势 市场份额 材料组分 设备设计 产能整合 企业并购 落后产能 技术进步 毛利水平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金田股份举行2026年半年度业绩交流会，深入探讨了公司上半年业绩亮点，包括主营业务收入、铜合金材料产量及销量的显著增长，以及归母净利润的提升。会议还聚焦了公司在AI算力、新能源汽车、绿色再生铜业务等方面的最新进展与未来规划，并对市场竞争态势进行了分析。此外，讨论了转债资金的合理规划与市值管理策略，展示了公司在稳固传统业务的同时，积极开拓新兴领域，通过技术创新与市场拓展，以应对未来的挑战与机遇，致力于可持续发展。</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金田股份2026年半年度业绩交流会概览</w:t>
      </w:r>
    </w:p>
    <w:p>
      <w:r>
        <w:rPr>
          <w:rFonts w:ascii="等线(中文正文)" w:hAnsi="等线(中文正文)" w:cs="等线(中文正文)" w:eastAsia="等线(中文正文)"/>
          <w:b w:val="false"/>
          <w:i w:val="false"/>
          <w:sz w:val="20"/>
        </w:rPr>
        <w:t>会议中，金田股份汇报了2026年上半年业绩，主营收入733.73亿元，同比增长34.33%，归母净利润4.42亿元，同比增长18.44%。AI算力领域表现突出，液冷散热铜材批量供货英伟达和AMD，机架母线铜材实现量产，绿色高端再生铜材进入谷歌供应链。公司预计2027年上半年芯片半导体散热和机架母线铜牌产能将显著提升。</w:t>
      </w:r>
    </w:p>
    <w:p>
      <w:r>
        <w:rPr>
          <w:rFonts w:ascii="等线(中文正文)" w:hAnsi="等线(中文正文)" w:cs="等线(中文正文)" w:eastAsia="等线(中文正文)"/>
          <w:b w:val="false"/>
          <w:i w:val="false"/>
          <w:sz w:val="20"/>
        </w:rPr>
        <w:t/>
      </w:r>
    </w:p>
    <w:p>
      <w:pPr>
        <w:pStyle w:val="ab"/>
        <w:numPr>
          <w:numId w:val="2"/>
        </w:numPr>
      </w:pPr>
      <w:r>
        <w:t>07:34 公司新能源汽车与绿色再生铜业务发展及海外布局</w:t>
      </w:r>
    </w:p>
    <w:p>
      <w:r>
        <w:rPr>
          <w:rFonts w:ascii="等线(中文正文)" w:hAnsi="等线(中文正文)" w:cs="等线(中文正文)" w:eastAsia="等线(中文正文)"/>
          <w:b w:val="false"/>
          <w:i w:val="false"/>
          <w:sz w:val="20"/>
        </w:rPr>
        <w:t>公司高压电磁扁线产能持续释放，800伏及以上高压电线订单饱和，绿色再生铜业务拓展迅速，海外布局深化，稀土磁材板块盈利提升，建议关注规模利润变化。</w:t>
      </w:r>
    </w:p>
    <w:p>
      <w:r>
        <w:rPr>
          <w:rFonts w:ascii="等线(中文正文)" w:hAnsi="等线(中文正文)" w:cs="等线(中文正文)" w:eastAsia="等线(中文正文)"/>
          <w:b w:val="false"/>
          <w:i w:val="false"/>
          <w:sz w:val="20"/>
        </w:rPr>
        <w:t/>
      </w:r>
    </w:p>
    <w:p>
      <w:pPr>
        <w:pStyle w:val="ab"/>
        <w:numPr>
          <w:numId w:val="3"/>
        </w:numPr>
      </w:pPr>
      <w:r>
        <w:t>12:13 AI散热材料行业竞争格局与市场前景探讨</w:t>
      </w:r>
    </w:p>
    <w:p>
      <w:r>
        <w:rPr>
          <w:rFonts w:ascii="等线(中文正文)" w:hAnsi="等线(中文正文)" w:cs="等线(中文正文)" w:eastAsia="等线(中文正文)"/>
          <w:b w:val="false"/>
          <w:i w:val="false"/>
          <w:sz w:val="20"/>
        </w:rPr>
        <w:t>对话围绕AI散热材料行业的竞争格局和未来市场空间展开，讨论了国内铜加工企业转型现状，以及新兴需求对行业逻辑的影响，强调了研发与创新的重要性。</w:t>
      </w:r>
    </w:p>
    <w:p>
      <w:r>
        <w:rPr>
          <w:rFonts w:ascii="等线(中文正文)" w:hAnsi="等线(中文正文)" w:cs="等线(中文正文)" w:eastAsia="等线(中文正文)"/>
          <w:b w:val="false"/>
          <w:i w:val="false"/>
          <w:sz w:val="20"/>
        </w:rPr>
        <w:t/>
      </w:r>
    </w:p>
    <w:p>
      <w:pPr>
        <w:pStyle w:val="ab"/>
        <w:numPr>
          <w:numId w:val="4"/>
        </w:numPr>
      </w:pPr>
      <w:r>
        <w:t>18:31 技术创新与客户粘性：企业快速发展的关键</w:t>
      </w:r>
    </w:p>
    <w:p>
      <w:r>
        <w:rPr>
          <w:rFonts w:ascii="等线(中文正文)" w:hAnsi="等线(中文正文)" w:cs="等线(中文正文)" w:eastAsia="等线(中文正文)"/>
          <w:b w:val="false"/>
          <w:i w:val="false"/>
          <w:sz w:val="20"/>
        </w:rPr>
        <w:t>对话讨论了企业快速发展的原因，主要归结于技术研发和客户服务的卓越表现。与行业平均水平相比，该企业能提供最新的产品和解决方案，而竞争对手往往停留在上一代或更早的技术水平。企业完成了两代交班，新一代领导人具备年轻化、国际化视野，能够更好地应对市场变化。企业与客户之间建立了高度粘性，能够一站式提供所有核心方案、设备和工艺，确保按时足额交付，满足客户对新一代产品快速推出的需求。此外，企业从被动推销到主动吸引客户，展示了其在成本控制、研发能力、制造良率等方面的优势。</w:t>
      </w:r>
    </w:p>
    <w:p>
      <w:r>
        <w:rPr>
          <w:rFonts w:ascii="等线(中文正文)" w:hAnsi="等线(中文正文)" w:cs="等线(中文正文)" w:eastAsia="等线(中文正文)"/>
          <w:b w:val="false"/>
          <w:i w:val="false"/>
          <w:sz w:val="20"/>
        </w:rPr>
        <w:t/>
      </w:r>
    </w:p>
    <w:p>
      <w:pPr>
        <w:pStyle w:val="ab"/>
        <w:numPr>
          <w:numId w:val="5"/>
        </w:numPr>
      </w:pPr>
      <w:r>
        <w:t>25:11 AI行业壁垒与未来竞争优势探讨</w:t>
      </w:r>
    </w:p>
    <w:p>
      <w:r>
        <w:rPr>
          <w:rFonts w:ascii="等线(中文正文)" w:hAnsi="等线(中文正文)" w:cs="等线(中文正文)" w:eastAsia="等线(中文正文)"/>
          <w:b w:val="false"/>
          <w:i w:val="false"/>
          <w:sz w:val="20"/>
        </w:rPr>
        <w:t>对话深入探讨了AI行业较高的技术壁垒与未来竞争优势，指出即使技术进步放缓，行业仍可能保持高毛利，小厂可能因无法跟上技术迭代而被淘汰，未来市场可能由几大龙头主导，共同享受较高加工费与盈利。强调了再生资源利用的独特优势及行业整合趋势，对未来发展持乐观态度。</w:t>
      </w:r>
    </w:p>
    <w:p>
      <w:r>
        <w:rPr>
          <w:rFonts w:ascii="等线(中文正文)" w:hAnsi="等线(中文正文)" w:cs="等线(中文正文)" w:eastAsia="等线(中文正文)"/>
          <w:b w:val="false"/>
          <w:i w:val="false"/>
          <w:sz w:val="20"/>
        </w:rPr>
        <w:t/>
      </w:r>
    </w:p>
    <w:p>
      <w:pPr>
        <w:pStyle w:val="ab"/>
        <w:numPr>
          <w:numId w:val="6"/>
        </w:numPr>
      </w:pPr>
      <w:r>
        <w:t>33:03 铜加工企业转型技术挑战与时间预估</w:t>
      </w:r>
    </w:p>
    <w:p>
      <w:r>
        <w:rPr>
          <w:rFonts w:ascii="等线(中文正文)" w:hAnsi="等线(中文正文)" w:cs="等线(中文正文)" w:eastAsia="等线(中文正文)"/>
          <w:b w:val="false"/>
          <w:i w:val="false"/>
          <w:sz w:val="20"/>
        </w:rPr>
        <w:t>讨论了国内普通铜加工公司转型至生产高端散热材料所需时间，指出技术壁垒高、市场准入难，尤其在成熟供应链中，新供应商需有独特优势才能获青睐。强调了技术进步周期缩短、产品生命周期快速迭代背景下，转型难度加大，最佳时机已过。同时提及企业已公开中报，详细分析行业技术参数与性能指标，供投资者参考。</w:t>
      </w:r>
    </w:p>
    <w:p>
      <w:r>
        <w:rPr>
          <w:rFonts w:ascii="等线(中文正文)" w:hAnsi="等线(中文正文)" w:cs="等线(中文正文)" w:eastAsia="等线(中文正文)"/>
          <w:b w:val="false"/>
          <w:i w:val="false"/>
          <w:sz w:val="20"/>
        </w:rPr>
        <w:t/>
      </w:r>
    </w:p>
    <w:p>
      <w:pPr>
        <w:pStyle w:val="ab"/>
        <w:numPr>
          <w:numId w:val="7"/>
        </w:numPr>
      </w:pPr>
      <w:r>
        <w:t>37:55 公司转债资金规划与市值管理预案</w:t>
      </w:r>
    </w:p>
    <w:p>
      <w:r>
        <w:rPr>
          <w:rFonts w:ascii="等线(中文正文)" w:hAnsi="等线(中文正文)" w:cs="等线(中文正文)" w:eastAsia="等线(中文正文)"/>
          <w:b w:val="false"/>
          <w:i w:val="false"/>
          <w:sz w:val="20"/>
        </w:rPr>
        <w:t>对话围绕公司转债的资金规划与市值管理预案展开，提到若转债不能转股，公司将通过商业银行贷款解决资金问题，手持授信额度充足。同时，因铜价上涨导致负债率偏高，公司希望促进转股。年初已实施大股东增持与回购计划，用于未来转股对冲，目前库存股量达五千多万，预计可转债最终转股比例约为一半，缓解市场担忧。</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主持并介绍了金田股份2026年半年度业绩交流会，提醒线上投资者静音并强调会议内容不得未经授权转发。他回顾了公司上半年业绩，指出主营业务收入、铜合金材料产量与销量、归母净利润等关键指标均实现显著增长。此外，详细介绍了公司在AI算力、新能源汽车、绿色再生铜业务等方面的进展与未来规划。面对投资者提问，他与公司领导进行了详细解答，涵盖了技术壁垒、行业竞争格局、转债资金规划等多方面内容。他强调，公司对未来发展持乐观态度，并已做好应对各种情况的准备。</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问：2026年上半年，公司实现的主营业务收入是多少？同比增长多少？</w:t>
      </w:r>
    </w:p>
    <w:p>
      <w:r>
        <w:rPr>
          <w:rFonts w:ascii="等线(中文正文)" w:hAnsi="等线(中文正文)" w:cs="等线(中文正文)" w:eastAsia="等线(中文正文)"/>
          <w:b w:val="false"/>
          <w:i w:val="false"/>
          <w:sz w:val="20"/>
        </w:rPr>
        <w:t>发言人1 答：2026年上半年，公司实现主营业务收入733.73亿元，同比增长34.33%。</w:t>
      </w:r>
    </w:p>
    <w:p>
      <w:r>
        <w:rPr>
          <w:rFonts w:ascii="等线(中文正文)" w:hAnsi="等线(中文正文)" w:cs="等线(中文正文)" w:eastAsia="等线(中文正文)"/>
          <w:b w:val="false"/>
          <w:i w:val="false"/>
          <w:sz w:val="20"/>
        </w:rPr>
        <w:t/>
      </w:r>
    </w:p>
    <w:p>
      <w:pPr>
        <w:pStyle w:val="ab"/>
      </w:pPr>
      <w:r>
        <w:t>发言人1 问：上半年公司的归母净利润是多少？同比增长多少？公司算力铜材业务在下半年的产能和销售情况如何？</w:t>
      </w:r>
    </w:p>
    <w:p>
      <w:r>
        <w:rPr>
          <w:rFonts w:ascii="等线(中文正文)" w:hAnsi="等线(中文正文)" w:cs="等线(中文正文)" w:eastAsia="等线(中文正文)"/>
          <w:b w:val="false"/>
          <w:i w:val="false"/>
          <w:sz w:val="20"/>
        </w:rPr>
        <w:t>发言人1 答：上半年公司实现归母净利润4.42亿元，同比增长18.44%，创历史新高。预计下半年补税、补社保等支出将下降，且算力铜材产能接近满产，产销量增速有望优于上半年。</w:t>
      </w:r>
    </w:p>
    <w:p>
      <w:r>
        <w:rPr>
          <w:rFonts w:ascii="等线(中文正文)" w:hAnsi="等线(中文正文)" w:cs="等线(中文正文)" w:eastAsia="等线(中文正文)"/>
          <w:b w:val="false"/>
          <w:i w:val="false"/>
          <w:sz w:val="20"/>
        </w:rPr>
        <w:t/>
      </w:r>
    </w:p>
    <w:p>
      <w:pPr>
        <w:pStyle w:val="ab"/>
      </w:pPr>
      <w:r>
        <w:t>发言人1 问：AI算力领域的铜材销售增长情况如何？有哪些客户群体？</w:t>
      </w:r>
    </w:p>
    <w:p>
      <w:r>
        <w:rPr>
          <w:rFonts w:ascii="等线(中文正文)" w:hAnsi="等线(中文正文)" w:cs="等线(中文正文)" w:eastAsia="等线(中文正文)"/>
          <w:b w:val="false"/>
          <w:i w:val="false"/>
          <w:sz w:val="20"/>
        </w:rPr>
        <w:t>发言人1 答：在AI算力领域，公司已形成散热领域产品系列，并成功切入英伟达、Meta、亚马逊、华为等国内外头部云服务商产业链，其中算力散热铜材销量持续增长。</w:t>
      </w:r>
    </w:p>
    <w:p>
      <w:r>
        <w:rPr>
          <w:rFonts w:ascii="等线(中文正文)" w:hAnsi="等线(中文正文)" w:cs="等线(中文正文)" w:eastAsia="等线(中文正文)"/>
          <w:b w:val="false"/>
          <w:i w:val="false"/>
          <w:sz w:val="20"/>
        </w:rPr>
        <w:t/>
      </w:r>
    </w:p>
    <w:p>
      <w:pPr>
        <w:pStyle w:val="ab"/>
      </w:pPr>
      <w:r>
        <w:t>发言人1 问：公司在机架母线铜器材领域的表现如何？</w:t>
      </w:r>
    </w:p>
    <w:p>
      <w:r>
        <w:rPr>
          <w:rFonts w:ascii="等线(中文正文)" w:hAnsi="等线(中文正文)" w:cs="等线(中文正文)" w:eastAsia="等线(中文正文)"/>
          <w:b w:val="false"/>
          <w:i w:val="false"/>
          <w:sz w:val="20"/>
        </w:rPr>
        <w:t>发言人1 答：针对英伟达和AMD的高安培机架母线铜器材需求，公司成功开发出所需的液冷机架母线铜器材，并且是首家实现量产供货的企业，目前拥有较高的市占率。</w:t>
      </w:r>
    </w:p>
    <w:p>
      <w:r>
        <w:rPr>
          <w:rFonts w:ascii="等线(中文正文)" w:hAnsi="等线(中文正文)" w:cs="等线(中文正文)" w:eastAsia="等线(中文正文)"/>
          <w:b w:val="false"/>
          <w:i w:val="false"/>
          <w:sz w:val="20"/>
        </w:rPr>
        <w:t/>
      </w:r>
    </w:p>
    <w:p>
      <w:pPr>
        <w:pStyle w:val="ab"/>
      </w:pPr>
      <w:r>
        <w:t>发言人1 问：公司绿色高端再生铜系列的市场表现和客户情况如何？</w:t>
      </w:r>
    </w:p>
    <w:p>
      <w:r>
        <w:rPr>
          <w:rFonts w:ascii="等线(中文正文)" w:hAnsi="等线(中文正文)" w:cs="等线(中文正文)" w:eastAsia="等线(中文正文)"/>
          <w:b w:val="false"/>
          <w:i w:val="false"/>
          <w:sz w:val="20"/>
        </w:rPr>
        <w:t>发言人1 答：公司率先实现了相关再生铜材的量产供应，相关牌号已进入谷歌AI算力供应链，单月产能有望达400吨，利润率较原生铜产品大幅提升。</w:t>
      </w:r>
    </w:p>
    <w:p>
      <w:r>
        <w:rPr>
          <w:rFonts w:ascii="等线(中文正文)" w:hAnsi="等线(中文正文)" w:cs="等线(中文正文)" w:eastAsia="等线(中文正文)"/>
          <w:b w:val="false"/>
          <w:i w:val="false"/>
          <w:sz w:val="20"/>
        </w:rPr>
        <w:t/>
      </w:r>
    </w:p>
    <w:p>
      <w:pPr>
        <w:pStyle w:val="ab"/>
      </w:pPr>
      <w:r>
        <w:t>发言人1 问：公司新能源汽车领域的高压电磁扁线销售情况如何？</w:t>
      </w:r>
    </w:p>
    <w:p>
      <w:r>
        <w:rPr>
          <w:rFonts w:ascii="等线(中文正文)" w:hAnsi="等线(中文正文)" w:cs="等线(中文正文)" w:eastAsia="等线(中文正文)"/>
          <w:b w:val="false"/>
          <w:i w:val="false"/>
          <w:sz w:val="20"/>
        </w:rPr>
        <w:t>发言人1 答：报告期内，公司高压电磁扁线总出货量达到1.67万吨，同比增长61%，其中800伏及以上高压电磁扁线出货量同比增长98%，市占率持续领先。</w:t>
      </w:r>
    </w:p>
    <w:p>
      <w:r>
        <w:rPr>
          <w:rFonts w:ascii="等线(中文正文)" w:hAnsi="等线(中文正文)" w:cs="等线(中文正文)" w:eastAsia="等线(中文正文)"/>
          <w:b w:val="false"/>
          <w:i w:val="false"/>
          <w:sz w:val="20"/>
        </w:rPr>
        <w:t/>
      </w:r>
    </w:p>
    <w:p>
      <w:pPr>
        <w:pStyle w:val="ab"/>
      </w:pPr>
      <w:r>
        <w:t>发言人1 问：上半年公司的铜合金材料产量和销量分别是多少？公司海外业务的发展状况和收入占比是多少？</w:t>
      </w:r>
    </w:p>
    <w:p>
      <w:r>
        <w:rPr>
          <w:rFonts w:ascii="等线(中文正文)" w:hAnsi="等线(中文正文)" w:cs="等线(中文正文)" w:eastAsia="等线(中文正文)"/>
          <w:b w:val="false"/>
          <w:i w:val="false"/>
          <w:sz w:val="20"/>
        </w:rPr>
        <w:t>发言人1 答：上半年公司实现了同级铜合金材料总产量95.95万吨，总销量88.87万吨。上半年公司实现海外、境外主营业务收入123.05亿元，同比增长65.97%，占公司主营业务收入的16.77%。同级铜合金材料海外销量达13.08万吨，同比增长31.87%。</w:t>
      </w:r>
    </w:p>
    <w:p>
      <w:r>
        <w:rPr>
          <w:rFonts w:ascii="等线(中文正文)" w:hAnsi="等线(中文正文)" w:cs="等线(中文正文)" w:eastAsia="等线(中文正文)"/>
          <w:b w:val="false"/>
          <w:i w:val="false"/>
          <w:sz w:val="20"/>
        </w:rPr>
        <w:t/>
      </w:r>
    </w:p>
    <w:p>
      <w:pPr>
        <w:pStyle w:val="ab"/>
      </w:pPr>
      <w:r>
        <w:t>发言人1 问：公司稀土磁材板块的盈利状况如何？</w:t>
      </w:r>
    </w:p>
    <w:p>
      <w:r>
        <w:rPr>
          <w:rFonts w:ascii="等线(中文正文)" w:hAnsi="等线(中文正文)" w:cs="等线(中文正文)" w:eastAsia="等线(中文正文)"/>
          <w:b w:val="false"/>
          <w:i w:val="false"/>
          <w:sz w:val="20"/>
        </w:rPr>
        <w:t>发言人1 答：上半年公司稀土磁材板块实现收入11亿元，同比增长49.93%；稀土磁材总销量3925吨，同比增长12%，产能利用率保持较高水平，销售端产品价格稳步提升，毛利率达14.80%，同比提升了1.8个百分点。</w:t>
      </w:r>
    </w:p>
    <w:p>
      <w:r>
        <w:rPr>
          <w:rFonts w:ascii="等线(中文正文)" w:hAnsi="等线(中文正文)" w:cs="等线(中文正文)" w:eastAsia="等线(中文正文)"/>
          <w:b w:val="false"/>
          <w:i w:val="false"/>
          <w:sz w:val="20"/>
        </w:rPr>
        <w:t/>
      </w:r>
    </w:p>
    <w:p>
      <w:pPr>
        <w:pStyle w:val="ab"/>
      </w:pPr>
      <w:r>
        <w:t>发言人1 问：公司内部在进行原材料套保时，为何报表上扣费和规模净利润的差别会比较大？</w:t>
      </w:r>
    </w:p>
    <w:p>
      <w:r>
        <w:rPr>
          <w:rFonts w:ascii="等线(中文正文)" w:hAnsi="等线(中文正文)" w:cs="等线(中文正文)" w:eastAsia="等线(中文正文)"/>
          <w:b w:val="false"/>
          <w:i w:val="false"/>
          <w:sz w:val="20"/>
        </w:rPr>
        <w:t>发言人1 答：因为根据大陆会计准则要求，我们公司在上游原材料如铜方面实现的百分之百套保收入需要提前在非经营收入科目中体现，所以公司的报表显示扣费后的规模净利润与实际净利润存在较大差异。建议投资者更多关注规模利润的变化情况。</w:t>
      </w:r>
    </w:p>
    <w:p>
      <w:r>
        <w:rPr>
          <w:rFonts w:ascii="等线(中文正文)" w:hAnsi="等线(中文正文)" w:cs="等线(中文正文)" w:eastAsia="等线(中文正文)"/>
          <w:b w:val="false"/>
          <w:i w:val="false"/>
          <w:sz w:val="20"/>
        </w:rPr>
        <w:t/>
      </w:r>
    </w:p>
    <w:p>
      <w:pPr>
        <w:pStyle w:val="ab"/>
      </w:pPr>
      <w:r>
        <w:t>发言人1 问：在互动交流环节中，您能介绍一下公司铜加工行业竞争格局以及未来市场空间的情况吗？</w:t>
      </w:r>
    </w:p>
    <w:p>
      <w:r>
        <w:rPr>
          <w:rFonts w:ascii="等线(中文正文)" w:hAnsi="等线(中文正文)" w:cs="等线(中文正文)" w:eastAsia="等线(中文正文)"/>
          <w:b w:val="false"/>
          <w:i w:val="false"/>
          <w:sz w:val="20"/>
        </w:rPr>
        <w:t>发言人1 答：最近3到5年，整个行业的格局变化很大，已经形成了两种截然不同的公司运营模式。在新能源和AI等新兴需求的推动下，行业竞争逻辑从产品高度同质化、客户集中和拼成本转向了创新研发和满足新兴需求。目前，行业内真正投入大量精力进行研发转型的企业并不多，而我们公司在技术研发、客户服务等方面远超行业平均水平，因此能够快速响应市场变化并取得竞争优势。</w:t>
      </w:r>
    </w:p>
    <w:p>
      <w:r>
        <w:rPr>
          <w:rFonts w:ascii="等线(中文正文)" w:hAnsi="等线(中文正文)" w:cs="等线(中文正文)" w:eastAsia="等线(中文正文)"/>
          <w:b w:val="false"/>
          <w:i w:val="false"/>
          <w:sz w:val="20"/>
        </w:rPr>
        <w:t/>
      </w:r>
    </w:p>
    <w:p>
      <w:pPr>
        <w:pStyle w:val="ab"/>
      </w:pPr>
      <w:r>
        <w:t>发言人1 问：目前在国内，除了宁波的两家公司外，还有哪些企业成功转型为能适应未来市场变化的铜加工企业？</w:t>
      </w:r>
    </w:p>
    <w:p>
      <w:r>
        <w:rPr>
          <w:rFonts w:ascii="等线(中文正文)" w:hAnsi="等线(中文正文)" w:cs="等线(中文正文)" w:eastAsia="等线(中文正文)"/>
          <w:b w:val="false"/>
          <w:i w:val="false"/>
          <w:sz w:val="20"/>
        </w:rPr>
        <w:t>发言人1 答：目前国内能够成功转型并适应未来市场需求的铜加工企业并不多，大家在应对行业变化方面的态度和行动存在明显差异。我们公司通过不断创新和对研发的大量投入，在行业中处于领先地位。</w:t>
      </w:r>
    </w:p>
    <w:p>
      <w:r>
        <w:rPr>
          <w:rFonts w:ascii="等线(中文正文)" w:hAnsi="等线(中文正文)" w:cs="等线(中文正文)" w:eastAsia="等线(中文正文)"/>
          <w:b w:val="false"/>
          <w:i w:val="false"/>
          <w:sz w:val="20"/>
        </w:rPr>
        <w:t/>
      </w:r>
    </w:p>
    <w:p>
      <w:pPr>
        <w:pStyle w:val="ab"/>
      </w:pPr>
      <w:r>
        <w:t>发言人1 问：对于公司未来发展的领导层变化及新一代领导人如何带领公司走向未来？</w:t>
      </w:r>
    </w:p>
    <w:p>
      <w:r>
        <w:rPr>
          <w:rFonts w:ascii="等线(中文正文)" w:hAnsi="等线(中文正文)" w:cs="等线(中文正文)" w:eastAsia="等线(中文正文)"/>
          <w:b w:val="false"/>
          <w:i w:val="false"/>
          <w:sz w:val="20"/>
        </w:rPr>
        <w:t>发言人1 答：过去的三四年间，公司经历了显著的领导层交接，完成了从老一代到新一代领导人的过渡，新一代领导人具备更高的知识水平、国际化眼光，更适应技术领先、研发领先、客户领先的市场需求。老董事长已经将全部股权无偿赠予小董事长，实现了不可逆的企业领导权交接，这标志着公司正式进入由新一代领导人引领的发展阶段。</w:t>
      </w:r>
    </w:p>
    <w:p>
      <w:r>
        <w:rPr>
          <w:rFonts w:ascii="等线(中文正文)" w:hAnsi="等线(中文正文)" w:cs="等线(中文正文)" w:eastAsia="等线(中文正文)"/>
          <w:b w:val="false"/>
          <w:i w:val="false"/>
          <w:sz w:val="20"/>
        </w:rPr>
        <w:t/>
      </w:r>
    </w:p>
    <w:p>
      <w:pPr>
        <w:pStyle w:val="ab"/>
      </w:pPr>
      <w:r>
        <w:t>发言人1 问：AI产业的产品生命周期大约是多久？你们目前在研发的产品以及未来面临的主要挑战是什么？</w:t>
      </w:r>
    </w:p>
    <w:p>
      <w:r>
        <w:rPr>
          <w:rFonts w:ascii="等线(中文正文)" w:hAnsi="等线(中文正文)" w:cs="等线(中文正文)" w:eastAsia="等线(中文正文)"/>
          <w:b w:val="false"/>
          <w:i w:val="false"/>
          <w:sz w:val="20"/>
        </w:rPr>
        <w:t>发言人1 答：现在AI产业的产品生命周期大概为两三年。我们目前正在研发的产品预计在未来明年或后年会量产，需要为每一代产品设计不同的材料组分、设备和工艺。主要挑战在于，在没有下一代产品具体性能和技术要求的情况下进行研发，并且市场变化迅速，如果跟不上每一步的发展，就会失去优势。同时，与客户的粘性会逐渐增强。</w:t>
      </w:r>
    </w:p>
    <w:p>
      <w:r>
        <w:rPr>
          <w:rFonts w:ascii="等线(中文正文)" w:hAnsi="等线(中文正文)" w:cs="等线(中文正文)" w:eastAsia="等线(中文正文)"/>
          <w:b w:val="false"/>
          <w:i w:val="false"/>
          <w:sz w:val="20"/>
        </w:rPr>
        <w:t/>
      </w:r>
    </w:p>
    <w:p>
      <w:pPr>
        <w:pStyle w:val="ab"/>
      </w:pPr>
      <w:r>
        <w:t>发言人1 问：你们公司在技术方案和生产能力上有哪些独特之处？</w:t>
      </w:r>
    </w:p>
    <w:p>
      <w:r>
        <w:rPr>
          <w:rFonts w:ascii="等线(中文正文)" w:hAnsi="等线(中文正文)" w:cs="等线(中文正文)" w:eastAsia="等线(中文正文)"/>
          <w:b w:val="false"/>
          <w:i w:val="false"/>
          <w:sz w:val="20"/>
        </w:rPr>
        <w:t>发言人1 答：我们是行业内唯一能提供所有核心方案、生产设备和工艺的企业，能够一站式完成从铜排到铜棒、铜管、铜带等各种产品的生产。客户无需关心具体采用哪种工艺，只需提出需求，我们就能提供解决方案。此外，我们的战略转型也十分成功，从最初的展会推销到如今大量客户主动寻求合作，这证明了我们在成本占比较小的情况下，能确保按期足额交付高质量产品的能力。</w:t>
      </w:r>
    </w:p>
    <w:p>
      <w:r>
        <w:rPr>
          <w:rFonts w:ascii="等线(中文正文)" w:hAnsi="等线(中文正文)" w:cs="等线(中文正文)" w:eastAsia="等线(中文正文)"/>
          <w:b w:val="false"/>
          <w:i w:val="false"/>
          <w:sz w:val="20"/>
        </w:rPr>
        <w:t/>
      </w:r>
    </w:p>
    <w:p>
      <w:pPr>
        <w:pStyle w:val="ab"/>
      </w:pPr>
      <w:r>
        <w:t>发言人1 问：技术研发和制造阶段的风险有哪些？</w:t>
      </w:r>
    </w:p>
    <w:p>
      <w:r>
        <w:rPr>
          <w:rFonts w:ascii="等线(中文正文)" w:hAnsi="等线(中文正文)" w:cs="等线(中文正文)" w:eastAsia="等线(中文正文)"/>
          <w:b w:val="false"/>
          <w:i w:val="false"/>
          <w:sz w:val="20"/>
        </w:rPr>
        <w:t>发言人1 答：研发阶段如果掉链子导致新产品推出滞后，或者制造阶段良率问题无法解决，都会给客户带来巨大损失。尤其是随着产品设计精度提高、复杂度加大，良率提升变得困难，客户对供应商的信任度也较低。但通过过往的经验和努力，我们已经积累了稳固的行业地位，即使面对技术进步放缓的情况，竞争优势和市场份额仍有望提高。</w:t>
      </w:r>
    </w:p>
    <w:p>
      <w:r>
        <w:rPr>
          <w:rFonts w:ascii="等线(中文正文)" w:hAnsi="等线(中文正文)" w:cs="等线(中文正文)" w:eastAsia="等线(中文正文)"/>
          <w:b w:val="false"/>
          <w:i w:val="false"/>
          <w:sz w:val="20"/>
        </w:rPr>
        <w:t/>
      </w:r>
    </w:p>
    <w:p>
      <w:pPr>
        <w:pStyle w:val="ab"/>
      </w:pPr>
      <w:r>
        <w:t>发言人1 问：客户是否倾向于独家供应或有排他性要求？</w:t>
      </w:r>
    </w:p>
    <w:p>
      <w:r>
        <w:rPr>
          <w:rFonts w:ascii="等线(中文正文)" w:hAnsi="等线(中文正文)" w:cs="等线(中文正文)" w:eastAsia="等线(中文正文)"/>
          <w:b w:val="false"/>
          <w:i w:val="false"/>
          <w:sz w:val="20"/>
        </w:rPr>
        <w:t>发言人1 答：许多客户出于技术保密和专利保护的原因，确实存在一定的排他性要求。然而，我们作为供应商，成功为全球云计算服务商中的几乎所有知名企业提供服务，证明了我们在行业中的领先地位和供应链保护意识。即使在技术进步放缓时，我们仍能保持较高的毛利和市场份额。</w:t>
      </w:r>
    </w:p>
    <w:p>
      <w:r>
        <w:rPr>
          <w:rFonts w:ascii="等线(中文正文)" w:hAnsi="等线(中文正文)" w:cs="等线(中文正文)" w:eastAsia="等线(中文正文)"/>
          <w:b w:val="false"/>
          <w:i w:val="false"/>
          <w:sz w:val="20"/>
        </w:rPr>
        <w:t/>
      </w:r>
    </w:p>
    <w:p>
      <w:pPr>
        <w:pStyle w:val="ab"/>
      </w:pPr>
      <w:r>
        <w:t>发言人1 问：对于未来AI行业的发展和技术进步趋势如何看待？</w:t>
      </w:r>
    </w:p>
    <w:p>
      <w:r>
        <w:rPr>
          <w:rFonts w:ascii="等线(中文正文)" w:hAnsi="等线(中文正文)" w:cs="等线(中文正文)" w:eastAsia="等线(中文正文)"/>
          <w:b w:val="false"/>
          <w:i w:val="false"/>
          <w:sz w:val="20"/>
        </w:rPr>
        <w:t>发言人1 答：预见到未来，技术进步可能不会停止，而且AI产业的技术壁垒高于消费电子和家用电器领域。即使技术迭代放缓，由于行业门槛较高，我们相信只要保持当前的技术水平，就不会陷入像家电或五金建材那样的竞争境地，国内AIDC产品在国内市场的销量仍将持续增长。</w:t>
      </w:r>
    </w:p>
    <w:p>
      <w:r>
        <w:rPr>
          <w:rFonts w:ascii="等线(中文正文)" w:hAnsi="等线(中文正文)" w:cs="等线(中文正文)" w:eastAsia="等线(中文正文)"/>
          <w:b w:val="false"/>
          <w:i w:val="false"/>
          <w:sz w:val="20"/>
        </w:rPr>
        <w:t/>
      </w:r>
    </w:p>
    <w:p>
      <w:pPr>
        <w:pStyle w:val="ab"/>
      </w:pPr>
      <w:r>
        <w:t>发言人1 问：在接下来的5到10年内，这个行业是否会从蓝海变成红海，以及行业壁垒是否与过去完全不同？</w:t>
      </w:r>
    </w:p>
    <w:p>
      <w:r>
        <w:rPr>
          <w:rFonts w:ascii="等线(中文正文)" w:hAnsi="等线(中文正文)" w:cs="等线(中文正文)" w:eastAsia="等线(中文正文)"/>
          <w:b w:val="false"/>
          <w:i w:val="false"/>
          <w:sz w:val="20"/>
        </w:rPr>
        <w:t>发言人1 答：我理解您的意思，确实，从当前的发展态势来看，这个行业可能会经历从蓝海到红海的变化。但与一般加工制造业不同，我们拥有独特的优势——再生技术，并且这个领域的渗透率正在指数级上升。通过拿下苹果、谷歌和沃尔沃等大客户，我们在技术更新迭代过程中建立了较高的行业壁垒，同行很难复制。未来5到10年，可能会出现大规模的企业并购、产能整合，导致市场由目前看似红海的产品环境转变为由几家龙头主导的局面。</w:t>
      </w:r>
    </w:p>
    <w:p>
      <w:r>
        <w:rPr>
          <w:rFonts w:ascii="等线(中文正文)" w:hAnsi="等线(中文正文)" w:cs="等线(中文正文)" w:eastAsia="等线(中文正文)"/>
          <w:b w:val="false"/>
          <w:i w:val="false"/>
          <w:sz w:val="20"/>
        </w:rPr>
        <w:t/>
      </w:r>
    </w:p>
    <w:p>
      <w:pPr>
        <w:pStyle w:val="ab"/>
      </w:pPr>
      <w:r>
        <w:t>发言人1 问：一家国内普通的铜加工公司要想转型生产现在这些散热铜牌等材料，大概需要多久的时间？</w:t>
      </w:r>
    </w:p>
    <w:p>
      <w:r>
        <w:rPr>
          <w:rFonts w:ascii="等线(中文正文)" w:hAnsi="等线(中文正文)" w:cs="等线(中文正文)" w:eastAsia="等线(中文正文)"/>
          <w:b w:val="false"/>
          <w:i w:val="false"/>
          <w:sz w:val="20"/>
        </w:rPr>
        <w:t>发言人1 答：现在的情况与三年或五年前不同，当时市场对供应商有更多容错空间，新的需求促使供应链广泛升级。但现在，即使公司愿意投入全力转型，由于技术、设备和工艺的专业性，加上许多关键技术已变得专有化，转型所需的时间很难确定，但可以肯定的是，这个过程会相当漫长且具有挑战性。</w:t>
      </w:r>
    </w:p>
    <w:p>
      <w:r>
        <w:rPr>
          <w:rFonts w:ascii="等线(中文正文)" w:hAnsi="等线(中文正文)" w:cs="等线(中文正文)" w:eastAsia="等线(中文正文)"/>
          <w:b w:val="false"/>
          <w:i w:val="false"/>
          <w:sz w:val="20"/>
        </w:rPr>
        <w:t/>
      </w:r>
    </w:p>
    <w:p>
      <w:pPr>
        <w:pStyle w:val="ab"/>
      </w:pPr>
      <w:r>
        <w:t>发言人1 问：对于想要进入国际顶尖客户供应链的国内供应商，变化很大吗？还是他们不想进入？</w:t>
      </w:r>
    </w:p>
    <w:p>
      <w:r>
        <w:rPr>
          <w:rFonts w:ascii="等线(中文正文)" w:hAnsi="等线(中文正文)" w:cs="等线(中文正文)" w:eastAsia="等线(中文正文)"/>
          <w:b w:val="false"/>
          <w:i w:val="false"/>
          <w:sz w:val="20"/>
        </w:rPr>
        <w:t>发言人1 答：变化确实很大。以前可能通过试错进入苹果供应链，而现在，若没有杀手锏，客户不愿意冒险尝试新供应商，因为换供应商的成本非常高。进入苹果链的难度较以前更大，即使有优质服务和良好合作，也需要具备竞争优势才能获得认证。</w:t>
      </w:r>
    </w:p>
    <w:p>
      <w:r>
        <w:rPr>
          <w:rFonts w:ascii="等线(中文正文)" w:hAnsi="等线(中文正文)" w:cs="等线(中文正文)" w:eastAsia="等线(中文正文)"/>
          <w:b w:val="false"/>
          <w:i w:val="false"/>
          <w:sz w:val="20"/>
        </w:rPr>
        <w:t/>
      </w:r>
    </w:p>
    <w:p>
      <w:pPr>
        <w:pStyle w:val="ab"/>
      </w:pPr>
      <w:r>
        <w:t>发言人1 问：对于后面转债的资金规划上，公司是否有安排或市值管理预案？</w:t>
      </w:r>
    </w:p>
    <w:p>
      <w:r>
        <w:rPr>
          <w:rFonts w:ascii="等线(中文正文)" w:hAnsi="等线(中文正文)" w:cs="等线(中文正文)" w:eastAsia="等线(中文正文)"/>
          <w:b w:val="false"/>
          <w:i w:val="false"/>
          <w:sz w:val="20"/>
        </w:rPr>
        <w:t>发言人1 答：公司对于转债到期有两种应对策略。一方面，若确定不能转股而需到期赎回，已与商业银行进行探讨，可能通过定向贷款解决资金问题，目前授信额度充足；另一方面，鉴于铜价上涨导致负债率上升及现金流压力增大，公司也希望促进转股，同时也已采取大股东增持和回购库存股（用于未来转股）等措施。虽然有约15亿可转债待转股，但实际转股时可能不会一次性全部释放，会对市场造成较大压力。</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2026-08-20T00:52:21Z</dcterms:created>
  <dc:creator>Apache POI</dc:creator>
</cp:coreProperties>
</file>