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康耐特光学 260818_导读</w:t>
      </w:r>
    </w:p>
    <w:p>
      <w:pPr>
        <w:pStyle w:val="a0"/>
        <w:jc w:val="center"/>
      </w:pPr>
      <w:r>
        <w:t>2026年08月20日 08:36</w:t>
      </w:r>
    </w:p>
    <w:p>
      <w:pPr>
        <w:pStyle w:val="a7"/>
      </w:pPr>
      <w:r>
        <w:t>关键词</w:t>
      </w:r>
    </w:p>
    <w:p>
      <w:r>
        <w:rPr>
          <w:rFonts w:ascii="等线(中文正文)" w:hAnsi="等线(中文正文)" w:cs="等线(中文正文)" w:eastAsia="等线(中文正文)"/>
          <w:b w:val="false"/>
          <w:i w:val="false"/>
          <w:sz w:val="20"/>
        </w:rPr>
        <w:t xml:space="preserve">XR业务 毛利率 收入 净利润 定制镜片 汇兑损失 代工 功能镜片 标准化镜片 美国 南美 欧洲 亚洲 中国 渠道渗透率 朝日品牌 高端品牌策略 回购 股东回报 派息率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康耐特光学公司举行中期业绩发布会，管理层指出公司上半年经营状况显著改善，尤其在XR业务收入方面实现了高速成长，尽管面临汇兑损失，但扣除影响后净利润同比增长27.6%，调整后每股收益增长24.1%。产品方面，标准化镜片收入下滑，功能镜片与定制镜片表现强劲；地区上，中国市场与海外市场均呈现增长趋势。公司智能眼镜领域布局深化，XR新业务经过三年投入已建立领先优势，预期下半年收入增速将加快。面对投资者，公司分享了新业务进展、未来市场潜力及在青少年近视控制镜片、新材料研发等方面的规划，展现了对未来发展的积极预期，并计划加大XR业务的产能及资金支持，旨在推动智能眼镜领域增长。整体上，会议强调了公司在智能眼镜领域的战略方向及对未来的乐观展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光学公司2026年中期业绩大幅改善</w:t>
      </w:r>
    </w:p>
    <w:p>
      <w:r>
        <w:rPr>
          <w:rFonts w:ascii="等线(中文正文)" w:hAnsi="等线(中文正文)" w:cs="等线(中文正文)" w:eastAsia="等线(中文正文)"/>
          <w:b w:val="false"/>
          <w:i w:val="false"/>
          <w:sz w:val="20"/>
        </w:rPr>
        <w:t>光学公司上半年收入11.67亿元，同比增长7.7%，增速显著提升。XR业务收入增长约15倍，定制镜片收入增速达37.5%。毛利率持续提升，扣除汇兑损失后净利润同比增长27.6%，调整后每股收益增长24.1%。中国、亚洲、美洲和欧洲市场收入占比分别为35%、22%、25%和15%。</w:t>
      </w:r>
    </w:p>
    <w:p>
      <w:r>
        <w:rPr>
          <w:rFonts w:ascii="等线(中文正文)" w:hAnsi="等线(中文正文)" w:cs="等线(中文正文)" w:eastAsia="等线(中文正文)"/>
          <w:b w:val="false"/>
          <w:i w:val="false"/>
          <w:sz w:val="20"/>
        </w:rPr>
        <w:t/>
      </w:r>
    </w:p>
    <w:p>
      <w:pPr>
        <w:pStyle w:val="ab"/>
        <w:numPr>
          <w:numId w:val="2"/>
        </w:numPr>
      </w:pPr>
      <w:r>
        <w:t>04:29 公司上半年全球收入增速显著，中国市场表现尤为突出</w:t>
      </w:r>
    </w:p>
    <w:p>
      <w:r>
        <w:rPr>
          <w:rFonts w:ascii="等线(中文正文)" w:hAnsi="等线(中文正文)" w:cs="等线(中文正文)" w:eastAsia="等线(中文正文)"/>
          <w:b w:val="false"/>
          <w:i w:val="false"/>
          <w:sz w:val="20"/>
        </w:rPr>
        <w:t>公司在包括中国、东南亚、美洲等主要市场的收入增速在今年上半年都得到了明显的加快或者显著的改善，其中中国市场的客户数目和渠道渗透率均有提升，朝日品牌的收入更是同比增长126%。海外市场方面，尽管整体增速仍为负，但同比跌幅显著缩窄，尤其是印度市场实现19%的环比收入增长。美国和南美的收入增长主要得益于XR业务合作加深和巴西市场开拓，欧洲收入实现了个位数增长。在销量方面，公司售出数字镜片同比增长8.9%，回到历史正常增速。</w:t>
      </w:r>
    </w:p>
    <w:p>
      <w:r>
        <w:rPr>
          <w:rFonts w:ascii="等线(中文正文)" w:hAnsi="等线(中文正文)" w:cs="等线(中文正文)" w:eastAsia="等线(中文正文)"/>
          <w:b w:val="false"/>
          <w:i w:val="false"/>
          <w:sz w:val="20"/>
        </w:rPr>
        <w:t/>
      </w:r>
    </w:p>
    <w:p>
      <w:pPr>
        <w:pStyle w:val="ab"/>
        <w:numPr>
          <w:numId w:val="3"/>
        </w:numPr>
      </w:pPr>
      <w:r>
        <w:t>08:20 公司上半年财务表现与策略调整</w:t>
      </w:r>
    </w:p>
    <w:p>
      <w:r>
        <w:rPr>
          <w:rFonts w:ascii="等线(中文正文)" w:hAnsi="等线(中文正文)" w:cs="等线(中文正文)" w:eastAsia="等线(中文正文)"/>
          <w:b w:val="false"/>
          <w:i w:val="false"/>
          <w:sz w:val="20"/>
        </w:rPr>
        <w:t>上半年公司受1.74折射率原材料波动影响，成本下降4.3%，但单负毛利上升3.5%。毛利率提升1.9个百分点至42.9%，主要得益于高毛利产品占比增加。经营利润率提升2.3个百分点至29.7%，归属股东净利润增长27.6%。现金实力增强，净现金水平增至8.73亿元。公司回购股份并提高中期股息，派息率从26%提升至33%。下半年预计产品均价改善，毛利率和净利润率有望进一步提升。</w:t>
      </w:r>
    </w:p>
    <w:p>
      <w:r>
        <w:rPr>
          <w:rFonts w:ascii="等线(中文正文)" w:hAnsi="等线(中文正文)" w:cs="等线(中文正文)" w:eastAsia="等线(中文正文)"/>
          <w:b w:val="false"/>
          <w:i w:val="false"/>
          <w:sz w:val="20"/>
        </w:rPr>
        <w:t/>
      </w:r>
    </w:p>
    <w:p>
      <w:pPr>
        <w:pStyle w:val="ab"/>
        <w:numPr>
          <w:numId w:val="4"/>
        </w:numPr>
      </w:pPr>
      <w:r>
        <w:t>12:03 公司上半年财务回顾与下半年增长预期</w:t>
      </w:r>
    </w:p>
    <w:p>
      <w:r>
        <w:rPr>
          <w:rFonts w:ascii="等线(中文正文)" w:hAnsi="等线(中文正文)" w:cs="等线(中文正文)" w:eastAsia="等线(中文正文)"/>
          <w:b w:val="false"/>
          <w:i w:val="false"/>
          <w:sz w:val="20"/>
        </w:rPr>
        <w:t>公司上半年受1.74折射率镜片原材料供应紧张影响，收入低于预期。随着供应恢复及价格上涨，预计下半年收入增速将显著提升。公司维持主业10%收入增长和20%-25%净利润增长指引，整体增速将超过该区间。新业务副总裁将介绍XR业务回顾与展望，但不透露具体客户和项目进展。</w:t>
      </w:r>
    </w:p>
    <w:p>
      <w:r>
        <w:rPr>
          <w:rFonts w:ascii="等线(中文正文)" w:hAnsi="等线(中文正文)" w:cs="等线(中文正文)" w:eastAsia="等线(中文正文)"/>
          <w:b w:val="false"/>
          <w:i w:val="false"/>
          <w:sz w:val="20"/>
        </w:rPr>
        <w:t/>
      </w:r>
    </w:p>
    <w:p>
      <w:pPr>
        <w:pStyle w:val="ab"/>
        <w:numPr>
          <w:numId w:val="5"/>
        </w:numPr>
      </w:pPr>
      <w:r>
        <w:t>14:35 康耐特XR业务发展与产能布局</w:t>
      </w:r>
    </w:p>
    <w:p>
      <w:r>
        <w:rPr>
          <w:rFonts w:ascii="等线(中文正文)" w:hAnsi="等线(中文正文)" w:cs="等线(中文正文)" w:eastAsia="等线(中文正文)"/>
          <w:b w:val="false"/>
          <w:i w:val="false"/>
          <w:sz w:val="20"/>
        </w:rPr>
        <w:t>康耐特在SR定制定片领域构建了综合领先优势，包括全光学线路研发、高端镜片制造等。上半年，公司完成了江苏蓝图的股权收购，启动新产线规划，深化与歌尔光学、零瓣科技等战略合作伙伴关系。与多家国内外头部智能眼镜厂商签订合作协议，成为独家供应商，提供一站式解决方案。展望下半年，公司将加速海内外项目交付，深化产业协同，持续迭代技术能力，预计2026年XR业务销量与收入将显著增长，成为驱动集团业绩发展的新引擎。</w:t>
      </w:r>
    </w:p>
    <w:p>
      <w:r>
        <w:rPr>
          <w:rFonts w:ascii="等线(中文正文)" w:hAnsi="等线(中文正文)" w:cs="等线(中文正文)" w:eastAsia="等线(中文正文)"/>
          <w:b w:val="false"/>
          <w:i w:val="false"/>
          <w:sz w:val="20"/>
        </w:rPr>
        <w:t/>
      </w:r>
    </w:p>
    <w:p>
      <w:pPr>
        <w:pStyle w:val="ab"/>
        <w:numPr>
          <w:numId w:val="6"/>
        </w:numPr>
      </w:pPr>
      <w:r>
        <w:t>21:49 智能眼镜行业空间与传统眼镜业务增长展望</w:t>
      </w:r>
    </w:p>
    <w:p>
      <w:r>
        <w:rPr>
          <w:rFonts w:ascii="等线(中文正文)" w:hAnsi="等线(中文正文)" w:cs="等线(中文正文)" w:eastAsia="等线(中文正文)"/>
          <w:b w:val="false"/>
          <w:i w:val="false"/>
          <w:sz w:val="20"/>
        </w:rPr>
        <w:t>对话围绕智能眼镜行业空间及未来出货量、显示与非显示产品占比展开讨论，同时探讨了传统眼镜业务下半年增长措施及3至5年增长潜力，管理层分享了对市场趋势的见解和公司战略规划。</w:t>
      </w:r>
    </w:p>
    <w:p>
      <w:r>
        <w:rPr>
          <w:rFonts w:ascii="等线(中文正文)" w:hAnsi="等线(中文正文)" w:cs="等线(中文正文)" w:eastAsia="等线(中文正文)"/>
          <w:b w:val="false"/>
          <w:i w:val="false"/>
          <w:sz w:val="20"/>
        </w:rPr>
        <w:t/>
      </w:r>
    </w:p>
    <w:p>
      <w:pPr>
        <w:pStyle w:val="ab"/>
        <w:numPr>
          <w:numId w:val="7"/>
        </w:numPr>
      </w:pPr>
      <w:r>
        <w:t>23:10 智能眼镜：AI时代的终极入口与市场前景</w:t>
      </w:r>
    </w:p>
    <w:p>
      <w:r>
        <w:rPr>
          <w:rFonts w:ascii="等线(中文正文)" w:hAnsi="等线(中文正文)" w:cs="等线(中文正文)" w:eastAsia="等线(中文正文)"/>
          <w:b w:val="false"/>
          <w:i w:val="false"/>
          <w:sz w:val="20"/>
        </w:rPr>
        <w:t>对话深入探讨了智能眼镜作为AI时代入口的重要性及其广阔市场前景。从传统眼镜市场体量、对标智能手机与智能手表的成长曲线、权威机构预测及行业最新数据，论证了智能眼镜的市场潜力与技术成熟度。强调了智能眼镜在解放双手、第一人称视角及AR功能上的优势，以及巨头企业加速布局与政策支持下的行业发展趋势。</w:t>
      </w:r>
    </w:p>
    <w:p>
      <w:r>
        <w:rPr>
          <w:rFonts w:ascii="等线(中文正文)" w:hAnsi="等线(中文正文)" w:cs="等线(中文正文)" w:eastAsia="等线(中文正文)"/>
          <w:b w:val="false"/>
          <w:i w:val="false"/>
          <w:sz w:val="20"/>
        </w:rPr>
        <w:t/>
      </w:r>
    </w:p>
    <w:p>
      <w:pPr>
        <w:pStyle w:val="ab"/>
        <w:numPr>
          <w:numId w:val="8"/>
        </w:numPr>
      </w:pPr>
      <w:r>
        <w:t>30:43 1.74原材料供应改善推动下半年收入增长</w:t>
      </w:r>
    </w:p>
    <w:p>
      <w:r>
        <w:rPr>
          <w:rFonts w:ascii="等线(中文正文)" w:hAnsi="等线(中文正文)" w:cs="等线(中文正文)" w:eastAsia="等线(中文正文)"/>
          <w:b w:val="false"/>
          <w:i w:val="false"/>
          <w:sz w:val="20"/>
        </w:rPr>
        <w:t>上半年因原材料供应紧张影响了1.74产品的收入，但自4月末起，新谈判的原材料供应量同比增长至少30%，确保了下半年供应稳定。因此，预计下半年收入将显著高于上半年，原材料供应恢复正常是关键因素。</w:t>
      </w:r>
    </w:p>
    <w:p>
      <w:r>
        <w:rPr>
          <w:rFonts w:ascii="等线(中文正文)" w:hAnsi="等线(中文正文)" w:cs="等线(中文正文)" w:eastAsia="等线(中文正文)"/>
          <w:b w:val="false"/>
          <w:i w:val="false"/>
          <w:sz w:val="20"/>
        </w:rPr>
        <w:t/>
      </w:r>
    </w:p>
    <w:p>
      <w:pPr>
        <w:pStyle w:val="ab"/>
        <w:numPr>
          <w:numId w:val="9"/>
        </w:numPr>
      </w:pPr>
      <w:r>
        <w:t>32:25 康奈克智能眼镜光学方案的竞争优势分析</w:t>
      </w:r>
    </w:p>
    <w:p>
      <w:r>
        <w:rPr>
          <w:rFonts w:ascii="等线(中文正文)" w:hAnsi="等线(中文正文)" w:cs="等线(中文正文)" w:eastAsia="等线(中文正文)"/>
          <w:b w:val="false"/>
          <w:i w:val="false"/>
          <w:sz w:val="20"/>
        </w:rPr>
        <w:t>对话围绕康奈克在智能眼镜光学方案领域的竞争优势展开，重点介绍了时间积累、核心工艺量化领先、规模化量产能力和长期客户信任四大护城河。康奈克通过四年多的研发和生产经验，形成了难以复制的技术壁垒，并在镜片厚度、平整度和良率等方面展现出显著优势。此外，康奈克还强调了其快速扩展产能的能力和对国际认证的掌握，这些因素共同构成了其在国内外头部科技企业中的竞争力。</w:t>
      </w:r>
    </w:p>
    <w:p>
      <w:r>
        <w:rPr>
          <w:rFonts w:ascii="等线(中文正文)" w:hAnsi="等线(中文正文)" w:cs="等线(中文正文)" w:eastAsia="等线(中文正文)"/>
          <w:b w:val="false"/>
          <w:i w:val="false"/>
          <w:sz w:val="20"/>
        </w:rPr>
        <w:t/>
      </w:r>
    </w:p>
    <w:p>
      <w:pPr>
        <w:pStyle w:val="ab"/>
        <w:numPr>
          <w:numId w:val="10"/>
        </w:numPr>
      </w:pPr>
      <w:r>
        <w:t>39:18 公司转型与业绩提升策略探讨</w:t>
      </w:r>
    </w:p>
    <w:p>
      <w:r>
        <w:rPr>
          <w:rFonts w:ascii="等线(中文正文)" w:hAnsi="等线(中文正文)" w:cs="等线(中文正文)" w:eastAsia="等线(中文正文)"/>
          <w:b w:val="false"/>
          <w:i w:val="false"/>
          <w:sz w:val="20"/>
        </w:rPr>
        <w:t>对话围绕公司转型及业绩提升展开，首先肯定了公司在复杂环境下仍保持良好业绩，并对公司全年业绩指引表示认可。随后，讨论了公司从镜片制造商向产业链上下游拓展的转型路径，以及在XR业务领域的布局，询问了战略规划与关键里程碑的效果。最后，关注了公司毛利率持续提升的驱动因素及未来空间与持续性，希望获得具体案例或数据支持。</w:t>
      </w:r>
    </w:p>
    <w:p>
      <w:r>
        <w:rPr>
          <w:rFonts w:ascii="等线(中文正文)" w:hAnsi="等线(中文正文)" w:cs="等线(中文正文)" w:eastAsia="等线(中文正文)"/>
          <w:b w:val="false"/>
          <w:i w:val="false"/>
          <w:sz w:val="20"/>
        </w:rPr>
        <w:t/>
      </w:r>
    </w:p>
    <w:p>
      <w:pPr>
        <w:pStyle w:val="ab"/>
        <w:numPr>
          <w:numId w:val="11"/>
        </w:numPr>
      </w:pPr>
      <w:r>
        <w:t>41:34 光学企业转型智能科技公司的战略解析</w:t>
      </w:r>
    </w:p>
    <w:p>
      <w:r>
        <w:rPr>
          <w:rFonts w:ascii="等线(中文正文)" w:hAnsi="等线(中文正文)" w:cs="等线(中文正文)" w:eastAsia="等线(中文正文)"/>
          <w:b w:val="false"/>
          <w:i w:val="false"/>
          <w:sz w:val="20"/>
        </w:rPr>
        <w:t>企业从传统光学制造向智能光学科技公司转型，通过上游材料延伸、中游制造强化和下游服务拓展，实现产品结构升级、技术含量提升、客户结构优化及商业模式创新，从而推动ASP显著提升，构建以用户数据为核心的生态闭环，展现差异化竞争优势。</w:t>
      </w:r>
    </w:p>
    <w:p>
      <w:r>
        <w:rPr>
          <w:rFonts w:ascii="等线(中文正文)" w:hAnsi="等线(中文正文)" w:cs="等线(中文正文)" w:eastAsia="等线(中文正文)"/>
          <w:b w:val="false"/>
          <w:i w:val="false"/>
          <w:sz w:val="20"/>
        </w:rPr>
        <w:t/>
      </w:r>
    </w:p>
    <w:p>
      <w:pPr>
        <w:pStyle w:val="ab"/>
        <w:numPr>
          <w:numId w:val="12"/>
        </w:numPr>
      </w:pPr>
      <w:r>
        <w:t>48:05 XR业务与传统镜片市场增长策略分析</w:t>
      </w:r>
    </w:p>
    <w:p>
      <w:r>
        <w:rPr>
          <w:rFonts w:ascii="等线(中文正文)" w:hAnsi="等线(中文正文)" w:cs="等线(中文正文)" w:eastAsia="等线(中文正文)"/>
          <w:b w:val="false"/>
          <w:i w:val="false"/>
          <w:sz w:val="20"/>
        </w:rPr>
        <w:t>对话围绕公司新业务XR的收入构成及全年展望展开，指出上半年NRE费用占比较大，预计国内销量将快速增长，目标达到百万级。同时，讨论了传统镜片业务在国内市场通过性价比策略和高端品牌推广实现市场份额提升的情况，以及东南亚市场通过调整客户结构和利用日本品牌优势应对竞争，实现环比增长的策略。</w:t>
      </w:r>
    </w:p>
    <w:p>
      <w:r>
        <w:rPr>
          <w:rFonts w:ascii="等线(中文正文)" w:hAnsi="等线(中文正文)" w:cs="等线(中文正文)" w:eastAsia="等线(中文正文)"/>
          <w:b w:val="false"/>
          <w:i w:val="false"/>
          <w:sz w:val="20"/>
        </w:rPr>
        <w:t/>
      </w:r>
    </w:p>
    <w:p>
      <w:pPr>
        <w:pStyle w:val="ab"/>
        <w:numPr>
          <w:numId w:val="13"/>
        </w:numPr>
      </w:pPr>
      <w:r>
        <w:t>56:52 ODN业务与青少年近视防控镜片市场策略</w:t>
      </w:r>
    </w:p>
    <w:p>
      <w:r>
        <w:rPr>
          <w:rFonts w:ascii="等线(中文正文)" w:hAnsi="等线(中文正文)" w:cs="等线(中文正文)" w:eastAsia="等线(中文正文)"/>
          <w:b w:val="false"/>
          <w:i w:val="false"/>
          <w:sz w:val="20"/>
        </w:rPr>
        <w:t>讨论了ODN业务下滑的原因及长期战略，强调了国际品牌客户资源的重要性与行业增长趋势，同时分享了青少年近视防控镜片的临床实验进展及市场策略，计划通过活动推广满足市场需求，提升产品利润。</w:t>
      </w:r>
    </w:p>
    <w:p>
      <w:r>
        <w:rPr>
          <w:rFonts w:ascii="等线(中文正文)" w:hAnsi="等线(中文正文)" w:cs="等线(中文正文)" w:eastAsia="等线(中文正文)"/>
          <w:b w:val="false"/>
          <w:i w:val="false"/>
          <w:sz w:val="20"/>
        </w:rPr>
        <w:t/>
      </w:r>
    </w:p>
    <w:p>
      <w:pPr>
        <w:pStyle w:val="ab"/>
        <w:numPr>
          <w:numId w:val="14"/>
        </w:numPr>
      </w:pPr>
      <w:r>
        <w:t>01:01:12 康耐特光学XR业务增长与材料创新布局</w:t>
      </w:r>
    </w:p>
    <w:p>
      <w:r>
        <w:rPr>
          <w:rFonts w:ascii="等线(中文正文)" w:hAnsi="等线(中文正文)" w:cs="等线(中文正文)" w:eastAsia="等线(中文正文)"/>
          <w:b w:val="false"/>
          <w:i w:val="false"/>
          <w:sz w:val="20"/>
        </w:rPr>
        <w:t>讨论了康耐特光学在XR业务上的资本投入与未来定位，计划转型为精密光学平台型企业，XR业务占比预计超半数。同时，公司正探索碳化硅等新材料在光学路径中的应用，已涉及数据波导上游晶圆制造，未来将与股东合作深化布局。</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他主持并介绍了康耐特光学2026年中期业绩发布会，首先回顾了公司上半年的经营和财务表现，指出相比去年下半年，公司经营情况大幅改善，体现在收入增长和XR业务的高速收入增长上。公司整体毛利率持续提升，净利润实现了同比增长，尽管受到汇兑损失的影响。总收入和净利润分别达到11.67亿元和3.46亿元，同比增长7.7%和27.6%。发言中详细讨论了公司不同业务板块的表现，包括标准化镜片、功能镜片、定制镜片等，提到自有品牌和定制镜片业务的显著增长，以及在亚洲、美洲和中国市场上的收入增速和市场策略。
在新产品和业务方面，重点介绍了XR业务的发展，包括与大客户的合作、技术突破和市场定位，以及对未来的业务增长预期。公司预计随着技术的成熟和市场需求的增长，XR业务将成为公司长期业绩增长的重要驱动力。
最后，他回答了投资者的提问，讨论了公司在资本支出、产能建设、及新技术研发等方面的策略和计划，包括对未来的研发投入和市场拓展的预期。表达了公司对未来发展充满信心，并对投资者的支持表示感谢。会议强调了康耐特光学在光学技术领域的领先地位，以及其市场策略和未来增长潜力。</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问：公司今年上半年的经营情况和财务表现如何？</w:t>
      </w:r>
    </w:p>
    <w:p>
      <w:r>
        <w:rPr>
          <w:rFonts w:ascii="等线(中文正文)" w:hAnsi="等线(中文正文)" w:cs="等线(中文正文)" w:eastAsia="等线(中文正文)"/>
          <w:b w:val="false"/>
          <w:i w:val="false"/>
          <w:sz w:val="20"/>
        </w:rPr>
        <w:t>发言人1 答：今年上半年，公司的经营情况相比去年下半年有了显著改善。收入增长趋势在主要市场都有明显提升，尤其是XR业务收入实现了同比和环比的高速增长。整体毛利率持续上升，尽管受到汇兑损失的影响，扣除汇兑后的净利润仍同比增长27.6%，调整后的每股收益增长了24.1%。公司整体收入达到11.67亿元，同比增长7.7%，增速高于历史平均水平。</w:t>
      </w:r>
    </w:p>
    <w:p>
      <w:r>
        <w:rPr>
          <w:rFonts w:ascii="等线(中文正文)" w:hAnsi="等线(中文正文)" w:cs="等线(中文正文)" w:eastAsia="等线(中文正文)"/>
          <w:b w:val="false"/>
          <w:i w:val="false"/>
          <w:sz w:val="20"/>
        </w:rPr>
        <w:t/>
      </w:r>
    </w:p>
    <w:p>
      <w:pPr>
        <w:pStyle w:val="ab"/>
      </w:pPr>
      <w:r>
        <w:t>发言人1 问：从业务模式和市场分布来看，公司表现如何？</w:t>
      </w:r>
    </w:p>
    <w:p>
      <w:r>
        <w:rPr>
          <w:rFonts w:ascii="等线(中文正文)" w:hAnsi="等线(中文正文)" w:cs="等线(中文正文)" w:eastAsia="等线(中文正文)"/>
          <w:b w:val="false"/>
          <w:i w:val="false"/>
          <w:sz w:val="20"/>
        </w:rPr>
        <w:t>发言人1 答：代工收入同比下降7.2%至3.78亿，占比下降5个百分点至32%；自有品牌收入同比增长17%至7.9亿元，占比提升5个百分点至68%。国内市场方面，收入同比增速从去年下半年的11%提升至14.1%，渠道渗透率持续增长；海外市场中，中国外亚洲、美洲等地收入均有改善，尤其在印度、东南亚和南美市场实现了环比收入增长。</w:t>
      </w:r>
    </w:p>
    <w:p>
      <w:r>
        <w:rPr>
          <w:rFonts w:ascii="等线(中文正文)" w:hAnsi="等线(中文正文)" w:cs="等线(中文正文)" w:eastAsia="等线(中文正文)"/>
          <w:b w:val="false"/>
          <w:i w:val="false"/>
          <w:sz w:val="20"/>
        </w:rPr>
        <w:t/>
      </w:r>
    </w:p>
    <w:p>
      <w:pPr>
        <w:pStyle w:val="ab"/>
      </w:pPr>
      <w:r>
        <w:t>发言人1 问：各产品线的收入情况怎样？</w:t>
      </w:r>
    </w:p>
    <w:p>
      <w:r>
        <w:rPr>
          <w:rFonts w:ascii="等线(中文正文)" w:hAnsi="等线(中文正文)" w:cs="等线(中文正文)" w:eastAsia="等线(中文正文)"/>
          <w:b w:val="false"/>
          <w:i w:val="false"/>
          <w:sz w:val="20"/>
        </w:rPr>
        <w:t>发言人1 答：标准化镜片收入同比下降5.7%至4.83亿元，若去除基数影响，其年复合增长率约为10%。功能镜片收入为4.28亿元，同比增长11.9%，收入占比略有提升至42%。定制镜片表现出强劲增长，收入增速达到37.5%，收入占比同比提升4.7个百分点至22%。</w:t>
      </w:r>
    </w:p>
    <w:p>
      <w:r>
        <w:rPr>
          <w:rFonts w:ascii="等线(中文正文)" w:hAnsi="等线(中文正文)" w:cs="等线(中文正文)" w:eastAsia="等线(中文正文)"/>
          <w:b w:val="false"/>
          <w:i w:val="false"/>
          <w:sz w:val="20"/>
        </w:rPr>
        <w:t/>
      </w:r>
    </w:p>
    <w:p>
      <w:pPr>
        <w:pStyle w:val="ab"/>
      </w:pPr>
      <w:r>
        <w:t>发言人1 问：公司在销量和综合产品均价方面的表现怎么样？</w:t>
      </w:r>
    </w:p>
    <w:p>
      <w:r>
        <w:rPr>
          <w:rFonts w:ascii="等线(中文正文)" w:hAnsi="等线(中文正文)" w:cs="等线(中文正文)" w:eastAsia="等线(中文正文)"/>
          <w:b w:val="false"/>
          <w:i w:val="false"/>
          <w:sz w:val="20"/>
        </w:rPr>
        <w:t>发言人1 答：公司在今年上半年售出1.01亿片或5100万副数字镜片，同比增长8.9%。综合产品均价为每副23元，同比略有下降1.1%，主要归因于原材料供应波动导致的价格波动，但因为高毛利产品占比提升，毛利率同比提升1.9个百分点至42.9%。</w:t>
      </w:r>
    </w:p>
    <w:p>
      <w:r>
        <w:rPr>
          <w:rFonts w:ascii="等线(中文正文)" w:hAnsi="等线(中文正文)" w:cs="等线(中文正文)" w:eastAsia="等线(中文正文)"/>
          <w:b w:val="false"/>
          <w:i w:val="false"/>
          <w:sz w:val="20"/>
        </w:rPr>
        <w:t/>
      </w:r>
    </w:p>
    <w:p>
      <w:pPr>
        <w:pStyle w:val="ab"/>
      </w:pPr>
      <w:r>
        <w:t>发言人1 问：公司净利润及现金水平的变化情况是怎样的？</w:t>
      </w:r>
    </w:p>
    <w:p>
      <w:r>
        <w:rPr>
          <w:rFonts w:ascii="等线(中文正文)" w:hAnsi="等线(中文正文)" w:cs="等线(中文正文)" w:eastAsia="等线(中文正文)"/>
          <w:b w:val="false"/>
          <w:i w:val="false"/>
          <w:sz w:val="20"/>
        </w:rPr>
        <w:t>发言人1 答：调整汇兑损失后的归属股东净利润为3.46亿元，同比增长27.6%，调整后的净利率为29.6%，同比提升四个百分点。净现金水平由去年年底的5.7亿元增加到今年上半年的8.73亿元。同时，公司还通过自有资金回购了部分股份，并计划派付中期股息，显示出强劲的股东回报能力。</w:t>
      </w:r>
    </w:p>
    <w:p>
      <w:r>
        <w:rPr>
          <w:rFonts w:ascii="等线(中文正文)" w:hAnsi="等线(中文正文)" w:cs="等线(中文正文)" w:eastAsia="等线(中文正文)"/>
          <w:b w:val="false"/>
          <w:i w:val="false"/>
          <w:sz w:val="20"/>
        </w:rPr>
        <w:t/>
      </w:r>
    </w:p>
    <w:p>
      <w:pPr>
        <w:pStyle w:val="ab"/>
      </w:pPr>
      <w:r>
        <w:t>发言人1 问：对于今年全年的业绩预期有何调整？</w:t>
      </w:r>
    </w:p>
    <w:p>
      <w:r>
        <w:rPr>
          <w:rFonts w:ascii="等线(中文正文)" w:hAnsi="等线(中文正文)" w:cs="等线(中文正文)" w:eastAsia="等线(中文正文)"/>
          <w:b w:val="false"/>
          <w:i w:val="false"/>
          <w:sz w:val="20"/>
        </w:rPr>
        <w:t>发言人1 答：尽管上半年受到原材料供应紧张的影响导致收入低于全年预期，但随着原材料供应恢复正常以及1.74折射率镜片涨价效应的显现，预计下半年收入增速将明显高于上半年。对于主业，公司维持10%的收入增长和20%至25%的核心净利润增长指引，并强调新业务的收入和利润贡献将使得公司整体收入和净利润增速超过之前预期。</w:t>
      </w:r>
    </w:p>
    <w:p>
      <w:r>
        <w:rPr>
          <w:rFonts w:ascii="等线(中文正文)" w:hAnsi="等线(中文正文)" w:cs="等线(中文正文)" w:eastAsia="等线(中文正文)"/>
          <w:b w:val="false"/>
          <w:i w:val="false"/>
          <w:sz w:val="20"/>
        </w:rPr>
        <w:t/>
      </w:r>
    </w:p>
    <w:p>
      <w:pPr>
        <w:pStyle w:val="ab"/>
      </w:pPr>
      <w:r>
        <w:t>发言人1 问： 第四个维度是通过权威机构的交叉验证，能否具体分享一下不同预测来源对于智能眼镜出货量的预测情况？</w:t>
      </w:r>
    </w:p>
    <w:p>
      <w:r>
        <w:rPr>
          <w:rFonts w:ascii="等线(中文正文)" w:hAnsi="等线(中文正文)" w:cs="等线(中文正文)" w:eastAsia="等线(中文正文)"/>
          <w:b w:val="false"/>
          <w:i w:val="false"/>
          <w:sz w:val="20"/>
        </w:rPr>
        <w:t>发言人1 答： 当然可以。维生预测2030年全球智能眼镜出货量将达到9000万户，其中显示产品占比35%；Train force的预测范围在8500到9500万户，带藓治疗性占比30%到40%。而IPPs保守预测则是在7000万 units以上。基于我们内部对客户项目进度、供应链产能及终端需求的分析，预计2030年的出货量将在8000万到1亿之间，合理区间内显示占比约为30%到35%。</w:t>
      </w:r>
    </w:p>
    <w:p>
      <w:r>
        <w:rPr>
          <w:rFonts w:ascii="等线(中文正文)" w:hAnsi="等线(中文正文)" w:cs="等线(中文正文)" w:eastAsia="等线(中文正文)"/>
          <w:b w:val="false"/>
          <w:i w:val="false"/>
          <w:sz w:val="20"/>
        </w:rPr>
        <w:t/>
      </w:r>
    </w:p>
    <w:p>
      <w:pPr>
        <w:pStyle w:val="ab"/>
      </w:pPr>
      <w:r>
        <w:t>发言人1 问： 最新行业数据如何验证智能眼镜市场的发展趋势？</w:t>
      </w:r>
    </w:p>
    <w:p>
      <w:r>
        <w:rPr>
          <w:rFonts w:ascii="等线(中文正文)" w:hAnsi="等线(中文正文)" w:cs="等线(中文正文)" w:eastAsia="等线(中文正文)"/>
          <w:b w:val="false"/>
          <w:i w:val="false"/>
          <w:sz w:val="20"/>
        </w:rPr>
        <w:t>发言人1 答： 根据卫生统计，2026年第二季度全球AI眼镜出货量达到348万台，同比增长200%。特别值得一提的是，这一增速是在苹果尚未推出类似产品的情况下实现的，含金量非常高。</w:t>
      </w:r>
    </w:p>
    <w:p>
      <w:r>
        <w:rPr>
          <w:rFonts w:ascii="等线(中文正文)" w:hAnsi="等线(中文正文)" w:cs="等线(中文正文)" w:eastAsia="等线(中文正文)"/>
          <w:b w:val="false"/>
          <w:i w:val="false"/>
          <w:sz w:val="20"/>
        </w:rPr>
        <w:t/>
      </w:r>
    </w:p>
    <w:p>
      <w:pPr>
        <w:pStyle w:val="ab"/>
      </w:pPr>
      <w:r>
        <w:t>发言人1 问： 在供给侧，智能眼镜主流厂商有哪些动作？政策层面又是如何支持这一行业发展的？</w:t>
      </w:r>
    </w:p>
    <w:p>
      <w:r>
        <w:rPr>
          <w:rFonts w:ascii="等线(中文正文)" w:hAnsi="等线(中文正文)" w:cs="等线(中文正文)" w:eastAsia="等线(中文正文)"/>
          <w:b w:val="false"/>
          <w:i w:val="false"/>
          <w:sz w:val="20"/>
        </w:rPr>
        <w:t>发言人1 答： 主流智能眼镜厂商如Meta在今年上半年明显加快了新品发布速度，同时北美地区的苹果、谷歌、亚马逊，以及国内的阿里、小米、华为等科技大厂都在积极布局智能眼镜领域。此外，在政策层面，政府在11 15 5规划中着重发展AI战略，并且地方政府也出台了相应配套政策来支持该行业的发展。</w:t>
      </w:r>
    </w:p>
    <w:p>
      <w:r>
        <w:rPr>
          <w:rFonts w:ascii="等线(中文正文)" w:hAnsi="等线(中文正文)" w:cs="等线(中文正文)" w:eastAsia="等线(中文正文)"/>
          <w:b w:val="false"/>
          <w:i w:val="false"/>
          <w:sz w:val="20"/>
        </w:rPr>
        <w:t/>
      </w:r>
    </w:p>
    <w:p>
      <w:pPr>
        <w:pStyle w:val="ab"/>
      </w:pPr>
      <w:r>
        <w:t>发言人1 问： 关于今年下半年收入环比趋势的问题，能否详细说明原材料紧张问题以及后续缓解情况？</w:t>
      </w:r>
    </w:p>
    <w:p>
      <w:r>
        <w:rPr>
          <w:rFonts w:ascii="等线(中文正文)" w:hAnsi="等线(中文正文)" w:cs="等线(中文正文)" w:eastAsia="等线(中文正文)"/>
          <w:b w:val="false"/>
          <w:i w:val="false"/>
          <w:sz w:val="20"/>
        </w:rPr>
        <w:t>发言人1 答： 今年上半年，由于去年上半年原材料需求强劲，导致原材料供应紧张。不过，自4月末起，我们已开始接收新的原材料供应，并在三月底完成了与日本供应商关于新产业链原材料的谈判。相较于上一个财年的产品，新原材料供应量同比至少增长了30%，且这一采购量是稳定的。我们相信随着原材料发货节奏恢复正常，今年下半年的收入将明显高于上半年。</w:t>
      </w:r>
    </w:p>
    <w:p>
      <w:r>
        <w:rPr>
          <w:rFonts w:ascii="等线(中文正文)" w:hAnsi="等线(中文正文)" w:cs="等线(中文正文)" w:eastAsia="等线(中文正文)"/>
          <w:b w:val="false"/>
          <w:i w:val="false"/>
          <w:sz w:val="20"/>
        </w:rPr>
        <w:t/>
      </w:r>
    </w:p>
    <w:p>
      <w:pPr>
        <w:pStyle w:val="ab"/>
      </w:pPr>
      <w:r>
        <w:t>发言人1 问：公司转型的总体方向是什么？公司转型的具体路径如何划分？</w:t>
      </w:r>
    </w:p>
    <w:p>
      <w:r>
        <w:rPr>
          <w:rFonts w:ascii="等线(中文正文)" w:hAnsi="等线(中文正文)" w:cs="等线(中文正文)" w:eastAsia="等线(中文正文)"/>
          <w:b w:val="false"/>
          <w:i w:val="false"/>
          <w:sz w:val="20"/>
        </w:rPr>
        <w:t>发言人1 答：公司转型总体方向是从卖镜片到卖解决方案，从制造工厂转变为平台型公司，从传统的光学企业转型为智能光学科技公司。转型路径分为三层：上游延伸，中游强化以及下游拓展。</w:t>
      </w:r>
    </w:p>
    <w:p>
      <w:r>
        <w:rPr>
          <w:rFonts w:ascii="等线(中文正文)" w:hAnsi="等线(中文正文)" w:cs="等线(中文正文)" w:eastAsia="等线(中文正文)"/>
          <w:b w:val="false"/>
          <w:i w:val="false"/>
          <w:sz w:val="20"/>
        </w:rPr>
        <w:t/>
      </w:r>
    </w:p>
    <w:p>
      <w:pPr>
        <w:pStyle w:val="ab"/>
      </w:pPr>
      <w:r>
        <w:t>发言人1 问：公司在下游拓展上采取了哪些策略？</w:t>
      </w:r>
    </w:p>
    <w:p>
      <w:r>
        <w:rPr>
          <w:rFonts w:ascii="等线(中文正文)" w:hAnsi="等线(中文正文)" w:cs="等线(中文正文)" w:eastAsia="等线(中文正文)"/>
          <w:b w:val="false"/>
          <w:i w:val="false"/>
          <w:sz w:val="20"/>
        </w:rPr>
        <w:t>发言人1 答：下游拓展方面，我们通过电光数据入口和C2M柔性交付模式，利用自助验光仪解决验光痛点，实现验光数据直达工厂，个性化生产并直接快递到户，从而掌握用户数据入口，提供更个性化的产品和服务，并构建以公司为中心的生态闭环。</w:t>
      </w:r>
    </w:p>
    <w:p>
      <w:r>
        <w:rPr>
          <w:rFonts w:ascii="等线(中文正文)" w:hAnsi="等线(中文正文)" w:cs="等线(中文正文)" w:eastAsia="等线(中文正文)"/>
          <w:b w:val="false"/>
          <w:i w:val="false"/>
          <w:sz w:val="20"/>
        </w:rPr>
        <w:t/>
      </w:r>
    </w:p>
    <w:p>
      <w:pPr>
        <w:pStyle w:val="ab"/>
      </w:pPr>
      <w:r>
        <w:t>发言人1 问：上游延伸方面做了哪些布局？</w:t>
      </w:r>
    </w:p>
    <w:p>
      <w:r>
        <w:rPr>
          <w:rFonts w:ascii="等线(中文正文)" w:hAnsi="等线(中文正文)" w:cs="等线(中文正文)" w:eastAsia="等线(中文正文)"/>
          <w:b w:val="false"/>
          <w:i w:val="false"/>
          <w:sz w:val="20"/>
        </w:rPr>
        <w:t>发言人1 答：上游延伸方面，我们与日本三井化学保持长期战略合作以确保高端树脂材料供应稳定，并围绕数据光波导进行专利布局，申请了多项核心专利。</w:t>
      </w:r>
    </w:p>
    <w:p>
      <w:r>
        <w:rPr>
          <w:rFonts w:ascii="等线(中文正文)" w:hAnsi="等线(中文正文)" w:cs="等线(中文正文)" w:eastAsia="等线(中文正文)"/>
          <w:b w:val="false"/>
          <w:i w:val="false"/>
          <w:sz w:val="20"/>
        </w:rPr>
        <w:t/>
      </w:r>
    </w:p>
    <w:p>
      <w:pPr>
        <w:pStyle w:val="ab"/>
      </w:pPr>
      <w:r>
        <w:t>发言人1 问：中游强化的具体措施有哪些？</w:t>
      </w:r>
    </w:p>
    <w:p>
      <w:r>
        <w:rPr>
          <w:rFonts w:ascii="等线(中文正文)" w:hAnsi="等线(中文正文)" w:cs="等线(中文正文)" w:eastAsia="等线(中文正文)"/>
          <w:b w:val="false"/>
          <w:i w:val="false"/>
          <w:sz w:val="20"/>
        </w:rPr>
        <w:t>发言人1 答：中游强化主要体现在精密制造与一体化贴合能力的提升。我们拥有2亿片年产能和全球领先的700多万SKU效率及成本控制，已建成百万级洁净式车间，并掌握三种主流贴合工艺方案，同时运用AI技术改造生产产线，有效减少人力50%，提升效率50%以上。</w:t>
      </w:r>
    </w:p>
    <w:p>
      <w:r>
        <w:rPr>
          <w:rFonts w:ascii="等线(中文正文)" w:hAnsi="等线(中文正文)" w:cs="等线(中文正文)" w:eastAsia="等线(中文正文)"/>
          <w:b w:val="false"/>
          <w:i w:val="false"/>
          <w:sz w:val="20"/>
        </w:rPr>
        <w:t/>
      </w:r>
    </w:p>
    <w:p>
      <w:pPr>
        <w:pStyle w:val="ab"/>
      </w:pPr>
      <w:r>
        <w:t>发言人1 问：公司如何通过产品结构升级推动ASP提升？</w:t>
      </w:r>
    </w:p>
    <w:p>
      <w:r>
        <w:rPr>
          <w:rFonts w:ascii="等线(中文正文)" w:hAnsi="等线(中文正文)" w:cs="等线(中文正文)" w:eastAsia="等线(中文正文)"/>
          <w:b w:val="false"/>
          <w:i w:val="false"/>
          <w:sz w:val="20"/>
        </w:rPr>
        <w:t>发言人1 答：产品结构升级是关键驱动因素，从标准镜片到功能性镜片、AI镜片再到AR光学模组，每升一级ASP都会翻倍甚至更高。此外，产业链位置上移、技术含量提升、客户结构优化以及商业模式升级也是重要推动力。</w:t>
      </w:r>
    </w:p>
    <w:p>
      <w:r>
        <w:rPr>
          <w:rFonts w:ascii="等线(中文正文)" w:hAnsi="等线(中文正文)" w:cs="等线(中文正文)" w:eastAsia="等线(中文正文)"/>
          <w:b w:val="false"/>
          <w:i w:val="false"/>
          <w:sz w:val="20"/>
        </w:rPr>
        <w:t/>
      </w:r>
    </w:p>
    <w:p>
      <w:pPr>
        <w:pStyle w:val="ab"/>
      </w:pPr>
      <w:r>
        <w:t>发言人1 问：关于XR业务，今年上半年实际芯片销售和NRE费用返还情况如何？</w:t>
      </w:r>
    </w:p>
    <w:p>
      <w:r>
        <w:rPr>
          <w:rFonts w:ascii="等线(中文正文)" w:hAnsi="等线(中文正文)" w:cs="等线(中文正文)" w:eastAsia="等线(中文正文)"/>
          <w:b w:val="false"/>
          <w:i w:val="false"/>
          <w:sz w:val="20"/>
        </w:rPr>
        <w:t>发言人1 答：上半年XR业务中，NRE费用占了一部分收入，下半年海外项目会进入大批量量产阶段，而国内也有阿里千问、Rocky等重大项目推进中。预计全年XR业务会有较大增长，但具体销量数据未给出，强调了国内外市场的快速增长态势。</w:t>
      </w:r>
    </w:p>
    <w:p>
      <w:r>
        <w:rPr>
          <w:rFonts w:ascii="等线(中文正文)" w:hAnsi="等线(中文正文)" w:cs="等线(中文正文)" w:eastAsia="等线(中文正文)"/>
          <w:b w:val="false"/>
          <w:i w:val="false"/>
          <w:sz w:val="20"/>
        </w:rPr>
        <w:t/>
      </w:r>
    </w:p>
    <w:p>
      <w:pPr>
        <w:pStyle w:val="ab"/>
      </w:pPr>
      <w:r>
        <w:t>发言人1 问：面对国内芯片行业竞争加剧和东南亚市场的挑战，公司在哪些方面进行了差异化竞争？</w:t>
      </w:r>
    </w:p>
    <w:p>
      <w:r>
        <w:rPr>
          <w:rFonts w:ascii="等线(中文正文)" w:hAnsi="等线(中文正文)" w:cs="等线(中文正文)" w:eastAsia="等线(中文正文)"/>
          <w:b w:val="false"/>
          <w:i w:val="false"/>
          <w:sz w:val="20"/>
        </w:rPr>
        <w:t>发言人1 答：公司在产品和渠道上采取差异化竞争策略，以性价比打法覆盖大众市场，并持续推广高端品牌“朝日”，其收入同比增长126%。对于东南亚市场，公司正积极应对竞争加剧，保持警惕并优化市场布局。</w:t>
      </w:r>
    </w:p>
    <w:p>
      <w:r>
        <w:rPr>
          <w:rFonts w:ascii="等线(中文正文)" w:hAnsi="等线(中文正文)" w:cs="等线(中文正文)" w:eastAsia="等线(中文正文)"/>
          <w:b w:val="false"/>
          <w:i w:val="false"/>
          <w:sz w:val="20"/>
        </w:rPr>
        <w:t/>
      </w:r>
    </w:p>
    <w:p>
      <w:pPr>
        <w:pStyle w:val="ab"/>
      </w:pPr>
      <w:r>
        <w:t>发言人1 问：今年上半年，由于原材料短缺导致的成本压力，你们采取了哪些措施应对，并且这些措施是否有效？</w:t>
      </w:r>
    </w:p>
    <w:p>
      <w:r>
        <w:rPr>
          <w:rFonts w:ascii="等线(中文正文)" w:hAnsi="等线(中文正文)" w:cs="等线(中文正文)" w:eastAsia="等线(中文正文)"/>
          <w:b w:val="false"/>
          <w:i w:val="false"/>
          <w:sz w:val="20"/>
        </w:rPr>
        <w:t>发言人1 答：今年上半年，鉴于1.74产品供应紧缺的问题，我们提价了大约40%左右。尽管国内市场收入受到了原材料的影响，但出厂价格和毛利率都有所提升。具体表现为，国内市场的1.7产品损失同比提升7.6%，毛利率提升到53%左右。通过提价策略，今年上半年我们的国内收入实现了14%的增长，远高于整个行业的增速，这表明我们的市场份额在上升。</w:t>
      </w:r>
    </w:p>
    <w:p>
      <w:r>
        <w:rPr>
          <w:rFonts w:ascii="等线(中文正文)" w:hAnsi="等线(中文正文)" w:cs="等线(中文正文)" w:eastAsia="等线(中文正文)"/>
          <w:b w:val="false"/>
          <w:i w:val="false"/>
          <w:sz w:val="20"/>
        </w:rPr>
        <w:t/>
      </w:r>
    </w:p>
    <w:p>
      <w:pPr>
        <w:pStyle w:val="ab"/>
      </w:pPr>
      <w:r>
        <w:t>发言人1 问：在南亚市场，你们是如何应对竞争并推动业务发展的？</w:t>
      </w:r>
    </w:p>
    <w:p>
      <w:r>
        <w:rPr>
          <w:rFonts w:ascii="等线(中文正文)" w:hAnsi="等线(中文正文)" w:cs="等线(中文正文)" w:eastAsia="等线(中文正文)"/>
          <w:b w:val="false"/>
          <w:i w:val="false"/>
          <w:sz w:val="20"/>
        </w:rPr>
        <w:t>发言人1 答：去年下半年，我们在东南亚遇到了一些竞争，为了应对当时的市场环境，我们主动调整了客户结构，主要利用日本品牌的影响力去东南亚发展高端客户。今年上半年，我们采取的具体策略是将中生产的半成品模块运到日本新投产的定制化产线，进行后端加硬镀膜，以“日本制造”的方式在东南亚开拓市场。这个新产线的逐渐投产，对我们在东南亚市场的高端客户推广起到了很大的推动作用。</w:t>
      </w:r>
    </w:p>
    <w:p>
      <w:r>
        <w:rPr>
          <w:rFonts w:ascii="等线(中文正文)" w:hAnsi="等线(中文正文)" w:cs="等线(中文正文)" w:eastAsia="等线(中文正文)"/>
          <w:b w:val="false"/>
          <w:i w:val="false"/>
          <w:sz w:val="20"/>
        </w:rPr>
        <w:t/>
      </w:r>
    </w:p>
    <w:p>
      <w:pPr>
        <w:pStyle w:val="ab"/>
      </w:pPr>
      <w:r>
        <w:t>发言人1 问：对于ODN业务下滑以及青少年近视控制芯片的研发进展，公司有何看法和规划？</w:t>
      </w:r>
    </w:p>
    <w:p>
      <w:r>
        <w:rPr>
          <w:rFonts w:ascii="等线(中文正文)" w:hAnsi="等线(中文正文)" w:cs="等线(中文正文)" w:eastAsia="等线(中文正文)"/>
          <w:b w:val="false"/>
          <w:i w:val="false"/>
          <w:sz w:val="20"/>
        </w:rPr>
        <w:t>发言人1 答：上半年ODN业务的小幅下滑主要是由于行业大环境的影响。公司对代工业务非常重视，该业务在过去几年中的收入增速远高于行业平均水平，且随着国际品牌客户逐渐将欧美高成本产线转移到中国，代工业务的订单有望持续增加。因此，公司会继续重点发展代工业务，不会因自主品牌业务的增长而放弃代工业务。</w:t>
      </w:r>
    </w:p>
    <w:p>
      <w:r>
        <w:rPr>
          <w:rFonts w:ascii="等线(中文正文)" w:hAnsi="等线(中文正文)" w:cs="等线(中文正文)" w:eastAsia="等线(中文正文)"/>
          <w:b w:val="false"/>
          <w:i w:val="false"/>
          <w:sz w:val="20"/>
        </w:rPr>
        <w:t/>
      </w:r>
    </w:p>
    <w:p>
      <w:pPr>
        <w:pStyle w:val="ab"/>
      </w:pPr>
      <w:r>
        <w:t>发言人1 问：关于青少年近视防控镜片的研发和市场推广情况如何？</w:t>
      </w:r>
    </w:p>
    <w:p>
      <w:r>
        <w:rPr>
          <w:rFonts w:ascii="等线(中文正文)" w:hAnsi="等线(中文正文)" w:cs="等线(中文正文)" w:eastAsia="等线(中文正文)"/>
          <w:b w:val="false"/>
          <w:i w:val="false"/>
          <w:sz w:val="20"/>
        </w:rPr>
        <w:t>发言人1 答：青少年近视防控镜片在中国市场面临挑战但也充满机遇。我们最新的临床实验进展顺利，预计很快会有数据结果。根据临床试验结果，我们将整合新一代产品的研发销售周期卖点，以期在中国激烈的青少年近视防控市场中获取更高利润。同时，公司也会举办一些活动，如茶话会，帮助消费者了解和购买相关产品，满足青少年近视防控的需求。</w:t>
      </w:r>
    </w:p>
    <w:p>
      <w:r>
        <w:rPr>
          <w:rFonts w:ascii="等线(中文正文)" w:hAnsi="等线(中文正文)" w:cs="等线(中文正文)" w:eastAsia="等线(中文正文)"/>
          <w:b w:val="false"/>
          <w:i w:val="false"/>
          <w:sz w:val="20"/>
        </w:rPr>
        <w:t/>
      </w:r>
    </w:p>
    <w:p>
      <w:pPr>
        <w:pStyle w:val="ab"/>
      </w:pPr>
      <w:r>
        <w:t>发言人1 问：公司对未来几年在XR业务上的定位、产能投入和资金回收情况是怎样的？</w:t>
      </w:r>
    </w:p>
    <w:p>
      <w:r>
        <w:rPr>
          <w:rFonts w:ascii="等线(中文正文)" w:hAnsi="等线(中文正文)" w:cs="等线(中文正文)" w:eastAsia="等线(中文正文)"/>
          <w:b w:val="false"/>
          <w:i w:val="false"/>
          <w:sz w:val="20"/>
        </w:rPr>
        <w:t>发言人1 答：公司对XR业务未来几年的发展前景充满信心，并预计该业务将实现快速增长。今年上半年已完成2.17亿资本开支，下半年预计在2.2到2.5亿之间，主要用于配合北美客户的大规模量产项目。公司已通过配售募集了资金，为接下来2到3年内XR业务的发展做好充足的资金储备。目前，公司与北美多个大厂有项目合作，预计2027至2028年是业务集中量产的关键期。在资本开支方面，公司会根据项目产品周期的产量预测来编排产能和资本开支，投入有序且具有预见性。长远来看，公司致力于转型为精密光学平台型企业，其中智能眼镜新业务占比有望长期超过一半甚至数倍于传统业务。</w:t>
      </w:r>
    </w:p>
    <w:p>
      <w:r>
        <w:rPr>
          <w:rFonts w:ascii="等线(中文正文)" w:hAnsi="等线(中文正文)" w:cs="等线(中文正文)" w:eastAsia="等线(中文正文)"/>
          <w:b w:val="false"/>
          <w:i w:val="false"/>
          <w:sz w:val="20"/>
        </w:rPr>
        <w:t/>
      </w:r>
    </w:p>
    <w:p>
      <w:pPr>
        <w:pStyle w:val="ab"/>
      </w:pPr>
      <w:r>
        <w:t>发言人1 问：公司对于新材料如碳化硅在光学路径中的应用有何布局？</w:t>
      </w:r>
    </w:p>
    <w:p>
      <w:r>
        <w:rPr>
          <w:rFonts w:ascii="等线(中文正文)" w:hAnsi="等线(中文正文)" w:cs="等线(中文正文)" w:eastAsia="等线(中文正文)"/>
          <w:b w:val="false"/>
          <w:i w:val="false"/>
          <w:sz w:val="20"/>
        </w:rPr>
        <w:t>发言人1 答：公司在光学路径上，特别是波导片技术方面，具备与多种材料（包括玻璃、树脂和碳化硅）合作的能力，可以满足近视和平光需求。目前在上游晶圆制造领域已有所涉及，并关注碳化硅原材料切割和晶圆制造的共通性技术，可能会在该领域积累和沉淀，寻求未来可能的切入机会并与股东高尔光学合作，共同推进相关业务发展。</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2026-08-20T00:52:22Z</dcterms:created>
  <dc:creator>Apache POI</dc:creator>
</cp:coreProperties>
</file>