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议价权迁移下的医美平台化机会 260819_导读</w:t>
      </w:r>
    </w:p>
    <w:p>
      <w:pPr>
        <w:pStyle w:val="a0"/>
        <w:jc w:val="center"/>
      </w:pPr>
      <w:r>
        <w:t>2026年08月20日 08:36</w:t>
      </w:r>
    </w:p>
    <w:p>
      <w:pPr>
        <w:pStyle w:val="a7"/>
      </w:pPr>
      <w:r>
        <w:t>关键词</w:t>
      </w:r>
    </w:p>
    <w:p>
      <w:r>
        <w:rPr>
          <w:rFonts w:ascii="等线(中文正文)" w:hAnsi="等线(中文正文)" w:cs="等线(中文正文)" w:eastAsia="等线(中文正文)"/>
          <w:b w:val="false"/>
          <w:i w:val="false"/>
          <w:sz w:val="20"/>
        </w:rPr>
        <w:t xml:space="preserve">医美 议价权 平台化 再生材料 寡占期 审批提速 价格体系 品牌溢价 渠道管控 医生教育 同质化竞争 流量 比价能力 采购成本 代理模式 供给弹性 技术壁垒 议价权迁移 学术话语权 利润分配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医美行业近年来经历结构性变革，上游产业周期变化促使议价权从上游向下游转移，未来或聚焦于平台化能力。分析显示，医美产业正从纯代理模式向平台化转型，以适应议价权变化，四环医药和华东医药作为成功案例，通过构建产品矩阵、自由产能、深度绑定渠道及品牌运营，应对议价权迁移，此举有望为公司带来新成长点与估值提升。这一转型对行业格局和公司估值产生深远影响，强调了平台化转型的必要性及潜在机遇。</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医美行业议价权迁移与平台化机遇</w:t>
      </w:r>
    </w:p>
    <w:p>
      <w:r>
        <w:rPr>
          <w:rFonts w:ascii="等线(中文正文)" w:hAnsi="等线(中文正文)" w:cs="等线(中文正文)" w:eastAsia="等线(中文正文)"/>
          <w:b w:val="false"/>
          <w:i w:val="false"/>
          <w:sz w:val="20"/>
        </w:rPr>
        <w:t>讨论了医美行业从牌照红利时代到议价权向下游迁移的结构性变化，分析了平台化能力成为新议价点的底层逻辑，以及纯代理模式的消褪和结构性风险，展望了平台化趋势下可能的受益者。</w:t>
      </w:r>
    </w:p>
    <w:p>
      <w:r>
        <w:rPr>
          <w:rFonts w:ascii="等线(中文正文)" w:hAnsi="等线(中文正文)" w:cs="等线(中文正文)" w:eastAsia="等线(中文正文)"/>
          <w:b w:val="false"/>
          <w:i w:val="false"/>
          <w:sz w:val="20"/>
        </w:rPr>
        <w:t/>
      </w:r>
    </w:p>
    <w:p>
      <w:pPr>
        <w:pStyle w:val="ab"/>
        <w:numPr>
          <w:numId w:val="2"/>
        </w:numPr>
      </w:pPr>
      <w:r>
        <w:t>00:44 2021年再生医美元年：市场逻辑与未来展望</w:t>
      </w:r>
    </w:p>
    <w:p>
      <w:r>
        <w:rPr>
          <w:rFonts w:ascii="等线(中文正文)" w:hAnsi="等线(中文正文)" w:cs="等线(中文正文)" w:eastAsia="等线(中文正文)"/>
          <w:b w:val="false"/>
          <w:i w:val="false"/>
          <w:sz w:val="20"/>
        </w:rPr>
        <w:t>2021年，随着再生医美材料的获批，行业进入元年，市场认为其安全、自然、长效，将分流高端玻尿酸市场。三款产品预计形成寡占格局，凭借复杂的注册流程构建3-5年的先发优势。预计2025年再生医美市场规模达112亿元，终端价格维持高位，院采价格3000-5000元，最大倍率约4倍。</w:t>
      </w:r>
    </w:p>
    <w:p>
      <w:r>
        <w:rPr>
          <w:rFonts w:ascii="等线(中文正文)" w:hAnsi="等线(中文正文)" w:cs="等线(中文正文)" w:eastAsia="等线(中文正文)"/>
          <w:b w:val="false"/>
          <w:i w:val="false"/>
          <w:sz w:val="20"/>
        </w:rPr>
        <w:t/>
      </w:r>
    </w:p>
    <w:p>
      <w:pPr>
        <w:pStyle w:val="ab"/>
        <w:numPr>
          <w:numId w:val="3"/>
        </w:numPr>
      </w:pPr>
      <w:r>
        <w:t>02:06 再生材料与高端玻尿酸市场竞争分析</w:t>
      </w:r>
    </w:p>
    <w:p>
      <w:r>
        <w:rPr>
          <w:rFonts w:ascii="等线(中文正文)" w:hAnsi="等线(中文正文)" w:cs="等线(中文正文)" w:eastAsia="等线(中文正文)"/>
          <w:b w:val="false"/>
          <w:i w:val="false"/>
          <w:sz w:val="20"/>
        </w:rPr>
        <w:t>再生材料正逐步占据高端玻尿酸市场，满足消费者对自然长效填充效果的需求，市场渗透率提升显著。高端品牌如孙翠及VN等仍保持价格溢价，但市场格局正快速变化，审批提速与技术壁垒互证导致寡占期缩短，竞争加剧。供给端大幅扩容冲击高价体系，价格分层加速，终端市场规模测算被高估，预计2027年市场规模可达115.2亿元，较预期延后两年。</w:t>
      </w:r>
    </w:p>
    <w:p>
      <w:r>
        <w:rPr>
          <w:rFonts w:ascii="等线(中文正文)" w:hAnsi="等线(中文正文)" w:cs="等线(中文正文)" w:eastAsia="等线(中文正文)"/>
          <w:b w:val="false"/>
          <w:i w:val="false"/>
          <w:sz w:val="20"/>
        </w:rPr>
        <w:t/>
      </w:r>
    </w:p>
    <w:p>
      <w:pPr>
        <w:pStyle w:val="ab"/>
        <w:numPr>
          <w:numId w:val="4"/>
        </w:numPr>
      </w:pPr>
      <w:r>
        <w:t>05:47 价格体系快速下移：医美行业面临的三大冲击</w:t>
      </w:r>
    </w:p>
    <w:p>
      <w:r>
        <w:rPr>
          <w:rFonts w:ascii="等线(中文正文)" w:hAnsi="等线(中文正文)" w:cs="等线(中文正文)" w:eastAsia="等线(中文正文)"/>
          <w:b w:val="false"/>
          <w:i w:val="false"/>
          <w:sz w:val="20"/>
        </w:rPr>
        <w:t>对话探讨了医美行业价格体系快速下移的核心原因，包括供给弹性被低估导致的业绩冲击、技术壁垒区分度被高估以及渠道和平台定价权的忽视。这些因素共同作用，加速了行业价格战的爆发，挑战了上游品牌的市场控制力。</w:t>
      </w:r>
    </w:p>
    <w:p>
      <w:r>
        <w:rPr>
          <w:rFonts w:ascii="等线(中文正文)" w:hAnsi="等线(中文正文)" w:cs="等线(中文正文)" w:eastAsia="等线(中文正文)"/>
          <w:b w:val="false"/>
          <w:i w:val="false"/>
          <w:sz w:val="20"/>
        </w:rPr>
        <w:t/>
      </w:r>
    </w:p>
    <w:p>
      <w:pPr>
        <w:pStyle w:val="ab"/>
        <w:numPr>
          <w:numId w:val="5"/>
        </w:numPr>
      </w:pPr>
      <w:r>
        <w:t>07:55 医美行业品牌心智与市场议价权迁移分析</w:t>
      </w:r>
    </w:p>
    <w:p>
      <w:r>
        <w:rPr>
          <w:rFonts w:ascii="等线(中文正文)" w:hAnsi="等线(中文正文)" w:cs="等线(中文正文)" w:eastAsia="等线(中文正文)"/>
          <w:b w:val="false"/>
          <w:i w:val="false"/>
          <w:sz w:val="20"/>
        </w:rPr>
        <w:t>讨论了医美行业负面外部性被低估的问题，指出品牌心智建立需精细化运营管理。分析了医美产业链议价权向下游迁移的原因，包括医疗器械证溢价消退、同质化竞争加剧及下游机构能力提升。强调了医生教育和渠道管控的重要性，以及电商平台对品牌心智的影响。</w:t>
      </w:r>
    </w:p>
    <w:p>
      <w:r>
        <w:rPr>
          <w:rFonts w:ascii="等线(中文正文)" w:hAnsi="等线(中文正文)" w:cs="等线(中文正文)" w:eastAsia="等线(中文正文)"/>
          <w:b w:val="false"/>
          <w:i w:val="false"/>
          <w:sz w:val="20"/>
        </w:rPr>
        <w:t/>
      </w:r>
    </w:p>
    <w:p>
      <w:pPr>
        <w:pStyle w:val="ab"/>
        <w:numPr>
          <w:numId w:val="6"/>
        </w:numPr>
      </w:pPr>
      <w:r>
        <w:t>10:50 代理模式在医美行业衰退分析与转型探讨</w:t>
      </w:r>
    </w:p>
    <w:p>
      <w:r>
        <w:rPr>
          <w:rFonts w:ascii="等线(中文正文)" w:hAnsi="等线(中文正文)" w:cs="等线(中文正文)" w:eastAsia="等线(中文正文)"/>
          <w:b w:val="false"/>
          <w:i w:val="false"/>
          <w:sz w:val="20"/>
        </w:rPr>
        <w:t>讨论了代理模式在医美行业衰退的原因，包括拿证不再稀缺、铺货门槛降低、供应链脆弱、学术话语权弱及利润分配被动等问题。同时，分析了行业量增价跌背景下，下游机构通过采购成本下降和产品丰富度提升获取利润修复的机会，以及上游企业通过适应性拓展、产品迭代、平台化布局和快速代理引进等方式寻找结构性机会的策略。</w:t>
      </w:r>
    </w:p>
    <w:p>
      <w:r>
        <w:rPr>
          <w:rFonts w:ascii="等线(中文正文)" w:hAnsi="等线(中文正文)" w:cs="等线(中文正文)" w:eastAsia="等线(中文正文)"/>
          <w:b w:val="false"/>
          <w:i w:val="false"/>
          <w:sz w:val="20"/>
        </w:rPr>
        <w:t/>
      </w:r>
    </w:p>
    <w:p>
      <w:pPr>
        <w:pStyle w:val="ab"/>
        <w:numPr>
          <w:numId w:val="7"/>
        </w:numPr>
      </w:pPr>
      <w:r>
        <w:t>13:35 平台化转型与医美行业案例分析</w:t>
      </w:r>
    </w:p>
    <w:p>
      <w:r>
        <w:rPr>
          <w:rFonts w:ascii="等线(中文正文)" w:hAnsi="等线(中文正文)" w:cs="等线(中文正文)" w:eastAsia="等线(中文正文)"/>
          <w:b w:val="false"/>
          <w:i w:val="false"/>
          <w:sz w:val="20"/>
        </w:rPr>
        <w:t>平台化转型需构建产品矩阵厚度、自由产能与研发能力，及深度品牌运营。四环医药通过自研与代理结合，加速向平台化转型，积累渠道资本，布局国际化，其医美业务稳定且具成长潜力，市场对其转型前景持乐观态度。</w:t>
      </w:r>
    </w:p>
    <w:p>
      <w:r>
        <w:rPr>
          <w:rFonts w:ascii="等线(中文正文)" w:hAnsi="等线(中文正文)" w:cs="等线(中文正文)" w:eastAsia="等线(中文正文)"/>
          <w:b w:val="false"/>
          <w:i w:val="false"/>
          <w:sz w:val="20"/>
        </w:rPr>
        <w:t/>
      </w:r>
    </w:p>
    <w:p>
      <w:pPr>
        <w:pStyle w:val="ab"/>
        <w:numPr>
          <w:numId w:val="8"/>
        </w:numPr>
      </w:pPr>
      <w:r>
        <w:t>16:32 华东医药平台化转型与市场估值分析</w:t>
      </w:r>
    </w:p>
    <w:p>
      <w:r>
        <w:rPr>
          <w:rFonts w:ascii="等线(中文正文)" w:hAnsi="等线(中文正文)" w:cs="等线(中文正文)" w:eastAsia="等线(中文正文)"/>
          <w:b w:val="false"/>
          <w:i w:val="false"/>
          <w:sz w:val="20"/>
        </w:rPr>
        <w:t>对话探讨了华东医药通过全资收购掌握产品和专利，实现国产化并解决供应链问题的策略。市场对其模式认可度高，但估值未给予高溢价，主要观望品牌生命周期管理、竞品冲击及平台管理复杂度。平台化能力验证的公司可能获得持续估值溢价，行业洗牌中，快速取证产品形成联合制造能力的企业更可能胜出。</w:t>
      </w:r>
    </w:p>
    <w:p>
      <w:r>
        <w:rPr>
          <w:rFonts w:ascii="等线(中文正文)" w:hAnsi="等线(中文正文)" w:cs="等线(中文正文)" w:eastAsia="等线(中文正文)"/>
          <w:b w:val="false"/>
          <w:i w:val="false"/>
          <w:sz w:val="20"/>
        </w:rPr>
        <w:t/>
      </w:r>
    </w:p>
    <w:p>
      <w:pPr>
        <w:pStyle w:val="ab"/>
        <w:numPr>
          <w:numId w:val="9"/>
        </w:numPr>
      </w:pPr>
      <w:r>
        <w:t>18:14 英美上游行业转型与平台化趋势分析</w:t>
      </w:r>
    </w:p>
    <w:p>
      <w:r>
        <w:rPr>
          <w:rFonts w:ascii="等线(中文正文)" w:hAnsi="等线(中文正文)" w:cs="等线(中文正文)" w:eastAsia="等线(中文正文)"/>
          <w:b w:val="false"/>
          <w:i w:val="false"/>
          <w:sz w:val="20"/>
        </w:rPr>
        <w:t>对话讨论了英美上游行业在过去周期中世界红照不可持续性，以及高价体系的脆弱性，指出渠道价值正被渠道和下游侵蚀，代理模式衰退。平台化被视为应对议价权迁移的关键策略，产品矩阵、产能、渠道绑定及品牌运营能力定义公司未来平台化潜力。市场已过度定价过去代理模式风险，但部分公司向平台化转型的价值尚未充分反映。四环和华东代表不同转型路径，其结果可能影响下一轮行业格局变化。</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他深入分析了医美行业当前的结构性变化，强调了从牌照红利到平台化机会的转变。他指出，过去几年，医美上游产业经历了从牌照红利到加速审批、产品快速融入市场的完整周期，反映了产业链议价权从上游向下游转移的趋势。预计议价权的下一轮转移将聚焦于平台化能力，而非单一产品。基于医美产业加权迁移的底层逻辑，他探讨了代理模式向平台化模式转型的必要性，并分析了潜在的受益企业。同时，他强调了需求升级和再生医美材料市场的趋势，以及议价权迁移对整个医美行业带来的深远影响。最后，他建议关注那些能够迅速适应变化、具备平台化能力的医美企业，明确指出平台化转型是行业应对当前挑战的关键策略。</w:t>
      </w:r>
    </w:p>
    <w:p>
      <w:r>
        <w:rPr>
          <w:rFonts w:ascii="等线(中文正文)" w:hAnsi="等线(中文正文)" w:cs="等线(中文正文)" w:eastAsia="等线(中文正文)"/>
          <w:b w:val="false"/>
          <w:i w:val="false"/>
          <w:sz w:val="20"/>
        </w:rPr>
        <w:t/>
      </w:r>
    </w:p>
    <w:p>
      <w:pPr>
        <w:pStyle w:val="a7"/>
      </w:pPr>
      <w:r>
        <w:t>要点回顾</w:t>
      </w:r>
    </w:p>
    <w:p>
      <w:pPr>
        <w:pStyle w:val="ab"/>
      </w:pPr>
      <w:r>
        <w:t>医美行业正在经历怎样的结构性变化，以及这种变化的主要表现是什么？这次演讲将如何分阶段讨论医美行业的结构性变化？</w:t>
      </w:r>
    </w:p>
    <w:p>
      <w:r>
        <w:rPr>
          <w:rFonts w:ascii="等线(中文正文)" w:hAnsi="等线(中文正文)" w:cs="等线(中文正文)" w:eastAsia="等线(中文正文)"/>
          <w:b w:val="false"/>
          <w:i w:val="false"/>
          <w:sz w:val="20"/>
        </w:rPr>
        <w:t>发言人1：医美行业当前正从过去依赖牌照红利的阶段转向一个新的周期，表现为P提速、赠品加速融入以及价格体系重构。产业链的议价权正在向下游迁移，特别是从单品议价转向平台化能力的议价。这一转变反映在医美产业链各环节的变化上，其中上游产品和平台化的整合能力成为关注焦点。演讲将分为三个部分进行阐述：首先分析医美产业加权迁移的底层逻辑；其次，探讨从纯代理模式向结构性风险的转变，并对议价权的迁移进行深入剖析；最后，探讨在这一轮迁移中受益的具体群体。</w:t>
      </w:r>
    </w:p>
    <w:p>
      <w:r>
        <w:rPr>
          <w:rFonts w:ascii="等线(中文正文)" w:hAnsi="等线(中文正文)" w:cs="等线(中文正文)" w:eastAsia="等线(中文正文)"/>
          <w:b w:val="false"/>
          <w:i w:val="false"/>
          <w:sz w:val="20"/>
        </w:rPr>
        <w:t/>
      </w:r>
    </w:p>
    <w:p>
      <w:pPr>
        <w:pStyle w:val="ab"/>
      </w:pPr>
      <w:r>
        <w:t>再生医美领域的获批产品对市场产生了哪些影响？</w:t>
      </w:r>
    </w:p>
    <w:p>
      <w:r>
        <w:rPr>
          <w:rFonts w:ascii="等线(中文正文)" w:hAnsi="等线(中文正文)" w:cs="等线(中文正文)" w:eastAsia="等线(中文正文)"/>
          <w:b w:val="false"/>
          <w:i w:val="false"/>
          <w:sz w:val="20"/>
        </w:rPr>
        <w:t>发言人1：2021年获批的再生医美产品开启了国内再生医美的元年，市场认为这些产品更安全、自然且长效，有望分流高端玻尿酸市场。同时，三款产品的获批形成了长期的寡占格局，由于注册审批流程复杂，已上市产品具有3到5年的先发优势。市场预计2025年再生医美市场规模将达到112亿元，且高价格体系被认为是可持续的。</w:t>
      </w:r>
    </w:p>
    <w:p>
      <w:r>
        <w:rPr>
          <w:rFonts w:ascii="等线(中文正文)" w:hAnsi="等线(中文正文)" w:cs="等线(中文正文)" w:eastAsia="等线(中文正文)"/>
          <w:b w:val="false"/>
          <w:i w:val="false"/>
          <w:sz w:val="20"/>
        </w:rPr>
        <w:t/>
      </w:r>
    </w:p>
    <w:p>
      <w:pPr>
        <w:pStyle w:val="ab"/>
      </w:pPr>
      <w:r>
        <w:t>当前再生医美领域的实际情况与当初市场预测相比有哪些变化？</w:t>
      </w:r>
    </w:p>
    <w:p>
      <w:r>
        <w:rPr>
          <w:rFonts w:ascii="等线(中文正文)" w:hAnsi="等线(中文正文)" w:cs="等线(中文正文)" w:eastAsia="等线(中文正文)"/>
          <w:b w:val="false"/>
          <w:i w:val="false"/>
          <w:sz w:val="20"/>
        </w:rPr>
        <w:t>发言人1：需求升级的方向和再生材料的安全、自然及长效效果被市场验证。然而，市场对于寡占期长度的预期过高，实际获批速度远超预期，从2024年开始市场竞争加剧，产品数量大幅增加。尽管高端品牌仍维持一定溢价，但整体价格体系已出现分层，新进入市场的厂家以性价比路线抢占市场份额，导致原有高价体系受到冲击。</w:t>
      </w:r>
    </w:p>
    <w:p>
      <w:r>
        <w:rPr>
          <w:rFonts w:ascii="等线(中文正文)" w:hAnsi="等线(中文正文)" w:cs="等线(中文正文)" w:eastAsia="等线(中文正文)"/>
          <w:b w:val="false"/>
          <w:i w:val="false"/>
          <w:sz w:val="20"/>
        </w:rPr>
        <w:t/>
      </w:r>
    </w:p>
    <w:p>
      <w:pPr>
        <w:pStyle w:val="ab"/>
      </w:pPr>
      <w:r>
        <w:t>价格体系重构对终端规模测算有何影响？</w:t>
      </w:r>
    </w:p>
    <w:p>
      <w:r>
        <w:rPr>
          <w:rFonts w:ascii="等线(中文正文)" w:hAnsi="等线(中文正文)" w:cs="等线(中文正文)" w:eastAsia="等线(中文正文)"/>
          <w:b w:val="false"/>
          <w:i w:val="false"/>
          <w:sz w:val="20"/>
        </w:rPr>
        <w:t>发言人1：价格体系快速重构导致原本预测的2025年团圆金市场规模突破100亿元的节奏推迟了两年，预计2027年市场规模可能达到115.2亿元。</w:t>
      </w:r>
    </w:p>
    <w:p>
      <w:r>
        <w:rPr>
          <w:rFonts w:ascii="等线(中文正文)" w:hAnsi="等线(中文正文)" w:cs="等线(中文正文)" w:eastAsia="等线(中文正文)"/>
          <w:b w:val="false"/>
          <w:i w:val="false"/>
          <w:sz w:val="20"/>
        </w:rPr>
        <w:t/>
      </w:r>
    </w:p>
    <w:p>
      <w:pPr>
        <w:pStyle w:val="ab"/>
      </w:pPr>
      <w:r>
        <w:t>价格体系重构中被低估的核心变量有哪些？</w:t>
      </w:r>
    </w:p>
    <w:p>
      <w:r>
        <w:rPr>
          <w:rFonts w:ascii="等线(中文正文)" w:hAnsi="等线(中文正文)" w:cs="等线(中文正文)" w:eastAsia="等线(中文正文)"/>
          <w:b w:val="false"/>
          <w:i w:val="false"/>
          <w:sz w:val="20"/>
        </w:rPr>
        <w:t>发言人1：核心变量包括供给弹性的低估和对价格体系重构速度的误判，以及技术壁垒区分度被高估。供给弹性的低估是因为实际价格体系重构速度远超预期，造成供给扩容对业绩的冲击一次性且不可逆地大幅显现。技术壁垒区分度被高估体现在获证技术和政策激励形成的牌照红利比想象中更脆弱，寡淡期缩短。</w:t>
      </w:r>
    </w:p>
    <w:p>
      <w:r>
        <w:rPr>
          <w:rFonts w:ascii="等线(中文正文)" w:hAnsi="等线(中文正文)" w:cs="等线(中文正文)" w:eastAsia="等线(中文正文)"/>
          <w:b w:val="false"/>
          <w:i w:val="false"/>
          <w:sz w:val="20"/>
        </w:rPr>
        <w:t/>
      </w:r>
    </w:p>
    <w:p>
      <w:pPr>
        <w:pStyle w:val="ab"/>
      </w:pPr>
      <w:r>
        <w:t>技术细节在当前市场环境下是否能支撑高端溢价？</w:t>
      </w:r>
    </w:p>
    <w:p>
      <w:r>
        <w:rPr>
          <w:rFonts w:ascii="等线(中文正文)" w:hAnsi="等线(中文正文)" w:cs="等线(中文正文)" w:eastAsia="等线(中文正文)"/>
          <w:b w:val="false"/>
          <w:i w:val="false"/>
          <w:sz w:val="20"/>
        </w:rPr>
        <w:t>发言人1：在当前C端比价激烈和平台货架压力下，产品间的微小工程差异不足以支撑高端产品的溢价，同质化竞争下，这些技术细节难以抵挡低价竞品对原有高端产品市场份额的侵蚀。</w:t>
      </w:r>
    </w:p>
    <w:p>
      <w:r>
        <w:rPr>
          <w:rFonts w:ascii="等线(中文正文)" w:hAnsi="等线(中文正文)" w:cs="等线(中文正文)" w:eastAsia="等线(中文正文)"/>
          <w:b w:val="false"/>
          <w:i w:val="false"/>
          <w:sz w:val="20"/>
        </w:rPr>
        <w:t/>
      </w:r>
    </w:p>
    <w:p>
      <w:pPr>
        <w:pStyle w:val="ab"/>
      </w:pPr>
      <w:r>
        <w:t>渠道和平台定价权对医美行业有何影响？</w:t>
      </w:r>
    </w:p>
    <w:p>
      <w:r>
        <w:rPr>
          <w:rFonts w:ascii="等线(中文正文)" w:hAnsi="等线(中文正文)" w:cs="等线(中文正文)" w:eastAsia="等线(中文正文)"/>
          <w:b w:val="false"/>
          <w:i w:val="false"/>
          <w:sz w:val="20"/>
        </w:rPr>
        <w:t>发言人1：渠道和平台拥有较强的定价权，例如电商平台代工贴牌模式降低了采购成本，从而大幅拉低终端价格，对医美厂商框架体系形成显著冲击，尤其对于上游品牌而言，其价格控制力比预想中脆弱得多。</w:t>
      </w:r>
    </w:p>
    <w:p>
      <w:r>
        <w:rPr>
          <w:rFonts w:ascii="等线(中文正文)" w:hAnsi="等线(中文正文)" w:cs="等线(中文正文)" w:eastAsia="等线(中文正文)"/>
          <w:b w:val="false"/>
          <w:i w:val="false"/>
          <w:sz w:val="20"/>
        </w:rPr>
        <w:t/>
      </w:r>
    </w:p>
    <w:p>
      <w:pPr>
        <w:pStyle w:val="ab"/>
      </w:pPr>
      <w:r>
        <w:t>负面外部性对医美品牌心智的影响如何？</w:t>
      </w:r>
    </w:p>
    <w:p>
      <w:r>
        <w:rPr>
          <w:rFonts w:ascii="等线(中文正文)" w:hAnsi="等线(中文正文)" w:cs="等线(中文正文)" w:eastAsia="等线(中文正文)"/>
          <w:b w:val="false"/>
          <w:i w:val="false"/>
          <w:sz w:val="20"/>
        </w:rPr>
        <w:t>发言人1：在社交媒体平台上，用户自发讨论产品的副作用，加之平台对医美内容严格监管，负面作用信息多于推荐类内容，可能导致品牌心智受到持续且显著的负面影响，限制了品牌在市场中进行正面教育的能力，消费者对品牌的容错率极低，一次负面体验可能导致新客永久流失。</w:t>
      </w:r>
    </w:p>
    <w:p>
      <w:r>
        <w:rPr>
          <w:rFonts w:ascii="等线(中文正文)" w:hAnsi="等线(中文正文)" w:cs="等线(中文正文)" w:eastAsia="等线(中文正文)"/>
          <w:b w:val="false"/>
          <w:i w:val="false"/>
          <w:sz w:val="20"/>
        </w:rPr>
        <w:t/>
      </w:r>
    </w:p>
    <w:p>
      <w:pPr>
        <w:pStyle w:val="ab"/>
      </w:pPr>
      <w:r>
        <w:t>医美产业链议价权的变化趋势如何？</w:t>
      </w:r>
    </w:p>
    <w:p>
      <w:r>
        <w:rPr>
          <w:rFonts w:ascii="等线(中文正文)" w:hAnsi="等线(中文正文)" w:cs="等线(中文正文)" w:eastAsia="等线(中文正文)"/>
          <w:b w:val="false"/>
          <w:i w:val="false"/>
          <w:sz w:val="20"/>
        </w:rPr>
        <w:t>发言人1：医美产业链议价权正发生系统性向下游迁移，原因有三：一是牌照贴性溢价消退削弱了品牌端建议价能力；二是同质化竞争加剧使得单品定价权向渠道迁移，电商平台可通过代工贴牌等方式推出自有品牌，拉低终端价格；三是下游机构能力提升，采购成本下降，对单一品牌的热度依赖度降低，进一步导致议价权向下游转移。</w:t>
      </w:r>
    </w:p>
    <w:p>
      <w:r>
        <w:rPr>
          <w:rFonts w:ascii="等线(中文正文)" w:hAnsi="等线(中文正文)" w:cs="等线(中文正文)" w:eastAsia="等线(中文正文)"/>
          <w:b w:val="false"/>
          <w:i w:val="false"/>
          <w:sz w:val="20"/>
        </w:rPr>
        <w:t/>
      </w:r>
    </w:p>
    <w:p>
      <w:pPr>
        <w:pStyle w:val="ab"/>
      </w:pPr>
      <w:r>
        <w:t>代理模式衰退为何成为议价权迁移的重要体现？</w:t>
      </w:r>
    </w:p>
    <w:p>
      <w:r>
        <w:rPr>
          <w:rFonts w:ascii="等线(中文正文)" w:hAnsi="等线(中文正文)" w:cs="等线(中文正文)" w:eastAsia="等线(中文正文)"/>
          <w:b w:val="false"/>
          <w:i w:val="false"/>
          <w:sz w:val="20"/>
        </w:rPr>
        <w:t>发言人1：代理模式衰退是因为上游供给快速扩容使得产品获取不再是难题，代理商的核心价值建立在获取产品后帮助拿证并铺货的基础上，当拿证不再稀缺、铺货门槛降低时，代理商的核心价值被抽空，因此代理模式在医美行业中逐渐衰落。</w:t>
      </w:r>
    </w:p>
    <w:p>
      <w:r>
        <w:rPr>
          <w:rFonts w:ascii="等线(中文正文)" w:hAnsi="等线(中文正文)" w:cs="等线(中文正文)" w:eastAsia="等线(中文正文)"/>
          <w:b w:val="false"/>
          <w:i w:val="false"/>
          <w:sz w:val="20"/>
        </w:rPr>
        <w:t/>
      </w:r>
    </w:p>
    <w:p>
      <w:pPr>
        <w:pStyle w:val="ab"/>
      </w:pPr>
      <w:r>
        <w:t>代理商模式存在哪些结构性脆弱性？</w:t>
      </w:r>
    </w:p>
    <w:p>
      <w:r>
        <w:rPr>
          <w:rFonts w:ascii="等线(中文正文)" w:hAnsi="等线(中文正文)" w:cs="等线(中文正文)" w:eastAsia="等线(中文正文)"/>
          <w:b w:val="false"/>
          <w:i w:val="false"/>
          <w:sz w:val="20"/>
        </w:rPr>
        <w:t>发言人1：代理商模式的结构性脆弱性主要体现在三个方面：首先，其供应链受制于上游供货方，一旦上游出现变动（如股东变动、策略调整或更换代理商），可能导致代理商面临困境。其次，代理商在学术话语权方面较弱，只能围绕产品特性进行推广，无法主导临床研究和医生培训体系。最后，代理商利润分配较为被动，大部分利润需分配给原告方，营销费用由代理商承担。</w:t>
      </w:r>
    </w:p>
    <w:p>
      <w:r>
        <w:rPr>
          <w:rFonts w:ascii="等线(中文正文)" w:hAnsi="等线(中文正文)" w:cs="等线(中文正文)" w:eastAsia="等线(中文正文)"/>
          <w:b w:val="false"/>
          <w:i w:val="false"/>
          <w:sz w:val="20"/>
        </w:rPr>
        <w:t/>
      </w:r>
    </w:p>
    <w:p>
      <w:pPr>
        <w:pStyle w:val="ab"/>
      </w:pPr>
      <w:r>
        <w:t>行业发展趋势下，哪些主体有机会获得更大机会？</w:t>
      </w:r>
    </w:p>
    <w:p>
      <w:r>
        <w:rPr>
          <w:rFonts w:ascii="等线(中文正文)" w:hAnsi="等线(中文正文)" w:cs="等线(中文正文)" w:eastAsia="等线(中文正文)"/>
          <w:b w:val="false"/>
          <w:i w:val="false"/>
          <w:sz w:val="20"/>
        </w:rPr>
        <w:t>发言人1：在行业整体量增价跌的大背景下，下游机构如轻医美企业和头部连锁机构有机会通过快速扩张、采购成本下降以及可选产品丰富度提升实现利润修复弹性。上游方面，尽管整体情况相对乐观度不高，但结构性机会依然存在，尤其是医美公司可通过适应性拓展、产品迭代巩固高端定位，或是平台化药企通过多产品布局和联合治疗方案来提升竞争力。</w:t>
      </w:r>
    </w:p>
    <w:p>
      <w:r>
        <w:rPr>
          <w:rFonts w:ascii="等线(中文正文)" w:hAnsi="等线(中文正文)" w:cs="等线(中文正文)" w:eastAsia="等线(中文正文)"/>
          <w:b w:val="false"/>
          <w:i w:val="false"/>
          <w:sz w:val="20"/>
        </w:rPr>
        <w:t/>
      </w:r>
    </w:p>
    <w:p>
      <w:pPr>
        <w:pStyle w:val="ab"/>
      </w:pPr>
      <w:r>
        <w:t>平台化方向的核心能力和特征是什么？</w:t>
      </w:r>
    </w:p>
    <w:p>
      <w:r>
        <w:rPr>
          <w:rFonts w:ascii="等线(中文正文)" w:hAnsi="等线(中文正文)" w:cs="等线(中文正文)" w:eastAsia="等线(中文正文)"/>
          <w:b w:val="false"/>
          <w:i w:val="false"/>
          <w:sz w:val="20"/>
        </w:rPr>
        <w:t>发言人1：平台化不仅仅是增加几个产品，而是需要具备三个关键能力：一是构建产品矩阵厚度，通过覆盖不同价格带、适应性和材料类型提升客单价；二是拥有自由产能和研发能力，以保障供应链稳定性并掌握核心产品；三是具备强大的品牌运营能力，深度绑定渠道和医生，提供联合治疗方案、医生培训和教育，同步提升B端信任和C端消费者认知。</w:t>
      </w:r>
    </w:p>
    <w:p>
      <w:r>
        <w:rPr>
          <w:rFonts w:ascii="等线(中文正文)" w:hAnsi="等线(中文正文)" w:cs="等线(中文正文)" w:eastAsia="等线(中文正文)"/>
          <w:b w:val="false"/>
          <w:i w:val="false"/>
          <w:sz w:val="20"/>
        </w:rPr>
        <w:t/>
      </w:r>
    </w:p>
    <w:p>
      <w:pPr>
        <w:pStyle w:val="ab"/>
      </w:pPr>
      <w:r>
        <w:t>平台化转型的样本有哪些？</w:t>
      </w:r>
    </w:p>
    <w:p>
      <w:r>
        <w:rPr>
          <w:rFonts w:ascii="等线(中文正文)" w:hAnsi="等线(中文正文)" w:cs="等线(中文正文)" w:eastAsia="等线(中文正文)"/>
          <w:b w:val="false"/>
          <w:i w:val="false"/>
          <w:sz w:val="20"/>
        </w:rPr>
        <w:t>发言人1：平台化转型的两个样本是四环医药和华东医药。四环医药通过与乐提宝原厂商合资建厂实现本地化供应，显著区别于单纯代理关系，并正加速向平台化转型，利用代理积累的渠道资本布局自研项目。华东医药则从买断模式转向资源绑定，全资收购相关公司实现源头掌握产品和技术，并建设完整生产线解决供应链问题，同时也在布局自研产品，为其医美业务提供质量体系支持和资金保障。</w:t>
      </w:r>
    </w:p>
    <w:p>
      <w:r>
        <w:rPr>
          <w:rFonts w:ascii="等线(中文正文)" w:hAnsi="等线(中文正文)" w:cs="等线(中文正文)" w:eastAsia="等线(中文正文)"/>
          <w:b w:val="false"/>
          <w:i w:val="false"/>
          <w:sz w:val="20"/>
        </w:rPr>
        <w:t/>
      </w:r>
    </w:p>
    <w:p>
      <w:pPr>
        <w:pStyle w:val="ab"/>
      </w:pPr>
      <w:r>
        <w:t>市场对不同模式的估值差异如何？</w:t>
      </w:r>
    </w:p>
    <w:p>
      <w:r>
        <w:rPr>
          <w:rFonts w:ascii="等线(中文正文)" w:hAnsi="等线(中文正文)" w:cs="等线(中文正文)" w:eastAsia="等线(中文正文)"/>
          <w:b w:val="false"/>
          <w:i w:val="false"/>
          <w:sz w:val="20"/>
        </w:rPr>
        <w:t>发言人1：市场对纯代理模式风险的估值较低，而对解决供应链稳定性的买单模式有一定修复空间，但空间有限。对于平台化能力得到验证的公司，市场可能给予持续高估值。目前，部分公司正向平台化转型，其价值尚未被充分认可，蕴含着行业内最大的预期差。在议价权迁移的大局下，谁能最快获取其他产品取证并形成联合制造能力，与渠道形态产生共鸣，谁更有可能在行业洗牌中胜出。</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2026-08-20T00:52:16Z</dcterms:created>
  <dc:creator>Apache POI</dc:creator>
</cp:coreProperties>
</file>