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议价权迁移下的医美平台化机会 260819_原文</w:t>
      </w:r>
    </w:p>
    <w:p>
      <w:pPr>
        <w:jc w:val="center"/>
      </w:pPr>
      <w:r>
        <w:rPr>
          <w:rFonts w:ascii="等线(中文正文)" w:hAnsi="等线(中文正文)" w:cs="等线(中文正文)" w:eastAsia="等线(中文正文)"/>
          <w:b w:val="false"/>
          <w:i w:val="false"/>
          <w:sz w:val="20"/>
        </w:rPr>
        <w:t>2026年08月20日 08:36</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大家晚上好，我今天主要想和大家聊一个关于医美行业结构性变化的话题。就是从溢价群的迁移去看一个医美的平台化的机会。其实过去几年，医美的上游其实经历了一个完整的周期。从之前的拿证就可以暴涨这样的一个牌照红利时代。其实从去年开始就可以看到现在的是P提速，然后赠品的加速融入以及价格体系已经进入了一个重构，上了一个新阶段，其实反映的是一枚产业链，它的议价权正在往下游迁移。而我们认为议价权的下一个落点可能并不再是某一个单品，而是一种平台化的一个能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00:27</w:t>
      </w:r>
    </w:p>
    <w:p>
      <w:r>
        <w:rPr>
          <w:rFonts w:ascii="等线(中文正文)" w:hAnsi="等线(中文正文)" w:cs="等线(中文正文)" w:eastAsia="等线(中文正文)"/>
          <w:b w:val="false"/>
          <w:i w:val="false"/>
          <w:sz w:val="20"/>
        </w:rPr>
        <w:t>今天的话会分为三个部分展开，第一个部分主要会去分析一下医美产业加权迁移这样的一个底层逻辑。第二块会去从之前的纯代理模式，它的一个可以说是消褪去看它结构性的风险，就显示对议价权的迁移达成一个扶正。第三个就是我们会再进一步去看一下，那谁会在这一轮迁移中受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00:45</w:t>
      </w:r>
    </w:p>
    <w:p>
      <w:r>
        <w:rPr>
          <w:rFonts w:ascii="等线(中文正文)" w:hAnsi="等线(中文正文)" w:cs="等线(中文正文)" w:eastAsia="等线(中文正文)"/>
          <w:b w:val="false"/>
          <w:i w:val="false"/>
          <w:sz w:val="20"/>
        </w:rPr>
        <w:t>首先我们其实可以先去回看一下，再是医美院内，也就是2021年。在2021年埃兰以及央视和白天使洛杉矶获批，可以认为是开启了国内再生医美的一个元年。当时市场上讲的核心逻辑是达成了一个从需求升级，然后再到品类，进而稀缺的征兆。达到了一个高的客单，然后进一步给上游带来一个高利润这样的一条逻辑链。具体的认为就是普遍认为有以下三点。第一点就是再生材料它是比传统的整形更加的安全，更加自然，也更加长效。所以他可能也会分流一部分高端玻尿酸的市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01:16</w:t>
      </w:r>
    </w:p>
    <w:p>
      <w:r>
        <w:rPr>
          <w:rFonts w:ascii="等线(中文正文)" w:hAnsi="等线(中文正文)" w:cs="等线(中文正文)" w:eastAsia="等线(中文正文)"/>
          <w:b w:val="false"/>
          <w:i w:val="false"/>
          <w:sz w:val="20"/>
        </w:rPr>
        <w:t>第二块第二观点，第二个逻辑就是在2021年获批的三款产品，可能会构成一个比较长期的一个寡占格局。并且当时的三类医疗器械，它的注册审流程是非常复杂，所以耗时久而且成本高。所以这些已经上市的产品可能会具有3到5年这样的一个先发优势。虽然当时其实是非已经是预计有获批，并且虽然这也预计在2024年获批，但市场还是依然认为现有的玩家会有足够的时间窗口去建立一个这样的一个竞争壁垒。第三点就是摄像机当时对2025年的再生征地规模的预测还是比较高的那有数据的话预测是会达到112亿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01:48</w:t>
      </w:r>
    </w:p>
    <w:p>
      <w:r>
        <w:rPr>
          <w:rFonts w:ascii="等线(中文正文)" w:hAnsi="等线(中文正文)" w:cs="等线(中文正文)" w:eastAsia="等线(中文正文)"/>
          <w:b w:val="false"/>
          <w:i w:val="false"/>
          <w:sz w:val="20"/>
        </w:rPr>
        <w:t>核心假设就是填充自己的终端规模去乘上一个再生真剂这样的一个渗透率，在20%。在这些假设之下，我们当时市场是认为再生正畸的高价格体系是被认为可以持续的。2022年可以看到它的终端价格确实普遍都在1.2到2.3万元每支，院采的价格也在3到5000元。下游的最大倍率这样子来看在四倍左右。</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02:07</w:t>
      </w:r>
    </w:p>
    <w:p>
      <w:r>
        <w:rPr>
          <w:rFonts w:ascii="等线(中文正文)" w:hAnsi="等线(中文正文)" w:cs="等线(中文正文)" w:eastAsia="等线(中文正文)"/>
          <w:b w:val="false"/>
          <w:i w:val="false"/>
          <w:sz w:val="20"/>
        </w:rPr>
        <w:t>但是走到今天的话，其实我们可以看到，并不是每一条逻辑和结论都已经被认证。首先我们可以去看，有哪些被认证呢？第一点就是确实需求的升级的方向，这也是判断正确的。再生材料确实也分流了一部分高端玻尿酸的市场，也符合了消费者对这种更自然更长效的一个填充效果这样的一个需求。其实已经可以看到，今天再生材料在一部分机构的注射零售比重已经提高到20%以上。这个渗透率提升的趋势确实是真实在发生的，而且我们认为将持续的是维持下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02:33</w:t>
      </w:r>
    </w:p>
    <w:p>
      <w:r>
        <w:rPr>
          <w:rFonts w:ascii="等线(中文正文)" w:hAnsi="等线(中文正文)" w:cs="等线(中文正文)" w:eastAsia="等线(中文正文)"/>
          <w:b w:val="false"/>
          <w:i w:val="false"/>
          <w:sz w:val="20"/>
        </w:rPr>
        <w:t>第二点就可以看到，品类分层这样一个格局确实是有形成。当时市场是认为香港产品其实它们是各具一个差异化的定位。今天的话这些高端品牌，比如像孙翠及VN的一个经典款以上，依然是它的S30型，仍然是具备一定品牌溢价的那至少可以看到部分机构未来的日常价格还是维持在1.3万元每支。那说明他品牌心智一旦建立的话，确实是能够形成一定的价格护城价格上的护城河，至少是可以守住一部分的高端客群。</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02:57</w:t>
      </w:r>
    </w:p>
    <w:p>
      <w:r>
        <w:rPr>
          <w:rFonts w:ascii="等线(中文正文)" w:hAnsi="等线(中文正文)" w:cs="等线(中文正文)" w:eastAsia="等线(中文正文)"/>
          <w:b w:val="false"/>
          <w:i w:val="false"/>
          <w:sz w:val="20"/>
        </w:rPr>
        <w:t>但除此之外，我们其实可以看到，当时几条核心逻辑还是目前来说已经被证明。第一个就是寡占期长度的一个高估，可以看到实际上从2024年开始，它的实际的货币速度是远超市场预期的那2024年的话椭圆针就已经新增3款，那到2025年是五款。那从今年的话就是前四位有4款相继上市。可以看到从之前是一个三足鼎立这样一个寡头状态，然后再到现在十几款，实际上只用了不到三年的一个时间。我们认为其实审批提速背后是有这样的一个制度性的因素，也就是NPA的一个应批尽批的导向，以及它可以和地方的激励政策发生一个共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03:30</w:t>
      </w:r>
    </w:p>
    <w:p>
      <w:r>
        <w:rPr>
          <w:rFonts w:ascii="等线(中文正文)" w:hAnsi="等线(中文正文)" w:cs="等线(中文正文)" w:eastAsia="等线(中文正文)"/>
          <w:b w:val="false"/>
          <w:i w:val="false"/>
          <w:sz w:val="20"/>
        </w:rPr>
        <w:t>类似的逻辑同样也可以看到，它在重组胶原和PDR赛道是同样适用的那可以看到在重组胶原的话，其实仅播他率先获批之后，然后评审报告公开。其实为后发的企业，尤其是像后续具体的获批都提供了个清晰的参考。使得后续的这些企业在胶原这样一个其实是比较具备难度一个评审材料的这个过程上，是大幅度降低他们过审的一个难度。而可以看到在目前来说，PR赛道虽然还没有产品获批，但是目前的话像华西这些大厂都已经布局了。但是他们还是在观望乐普的一个审批结果，那可能要去降低之后的一个申报的风险。这其实说明获证技术的壁垒和这个审批提速一旦是形成一个互证，那么寡占其窗口的一大幅缩短肯定是一个必然的结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04:07</w:t>
      </w:r>
    </w:p>
    <w:p>
      <w:r>
        <w:rPr>
          <w:rFonts w:ascii="等线(中文正文)" w:hAnsi="等线(中文正文)" w:cs="等线(中文正文)" w:eastAsia="等线(中文正文)"/>
          <w:b w:val="false"/>
          <w:i w:val="false"/>
          <w:sz w:val="20"/>
        </w:rPr>
        <w:t>进一步来看，其实看看爱美客的数据，其实也是说明这样竞争激烈程度。可以看到爱美客在2024年Q1，它的收入同比增速已经缓解，大幅下降了28%点。到中报的话，就只剩13.5，全年更是只剩5.5%。</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04:18</w:t>
      </w:r>
    </w:p>
    <w:p>
      <w:r>
        <w:rPr>
          <w:rFonts w:ascii="等线(中文正文)" w:hAnsi="等线(中文正文)" w:cs="等线(中文正文)" w:eastAsia="等线(中文正文)"/>
          <w:b w:val="false"/>
          <w:i w:val="false"/>
          <w:sz w:val="20"/>
        </w:rPr>
        <w:t>而2023年，其实全年整体上来看，收入还是一个高的增速，有48%。第二点，就是之前认为高价是可以持续，这样的一个分析是被打破的。你可以看到其实供给端的大幅扩容还是直接冲击了原有这样的高价体系。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04:33</w:t>
      </w:r>
    </w:p>
    <w:p>
      <w:r>
        <w:rPr>
          <w:rFonts w:ascii="等线(中文正文)" w:hAnsi="等线(中文正文)" w:cs="等线(中文正文)" w:eastAsia="等线(中文正文)"/>
          <w:b w:val="false"/>
          <w:i w:val="false"/>
          <w:sz w:val="20"/>
        </w:rPr>
        <w:t>信仰平台在24到25年间，其实是连续推出了奇迹童颜这样的一个系列，把童颜针的价格从厂商控价的1.68到1.88万元，是迅速拉低到了2900到到6000元这样一个区间内。在2026年的，也就是今年的八月，奇迹同行3.0的话，它的价格已经是由之前的990元1只降成了999元2只。同样的可以看到像老发人家他是罗马，也就是他旗下的这个A兰，以及像乐普他旗下的一个月1样，也是在部分电商平台被卖到了一个500元到千元以下这样的一个低价的价格带。那其实说明价格体系虽然没有全面崩塌，但是也是快速的形成一个分层。也就是说高端品牌依然是享有溢价。但是这些新进入厂家，尤其是一些国内的新品，主要还是去走5到6000这样的一个性价比的路线。那低规格就是低端的一些小规格产品，则是主要去去拓宽它的一些下沉市场。整体上来看，之前的这些高端线它的产品的单价还是受到一定的影响，说明高价的这样的一个价格体系，其实比目前看中的还是要更脆弱一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05:29</w:t>
      </w:r>
    </w:p>
    <w:p>
      <w:r>
        <w:rPr>
          <w:rFonts w:ascii="等线(中文正文)" w:hAnsi="等线(中文正文)" w:cs="等线(中文正文)" w:eastAsia="等线(中文正文)"/>
          <w:b w:val="false"/>
          <w:i w:val="false"/>
          <w:sz w:val="20"/>
        </w:rPr>
        <w:t>那价格体系的一个快速的可以说是一个重构，一定程度上也导致了从目前来看终端规模的测算被高估。那根据最新的这样一个投保研究院，它的一个预测显示，2027年团圆金的市场规模可能才能达到115.2亿元。那比原先市场预期可能2025年就要去突破100亿元这样的一个节奏。10万了，这样晚了将近有两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05:48</w:t>
      </w:r>
    </w:p>
    <w:p>
      <w:r>
        <w:rPr>
          <w:rFonts w:ascii="等线(中文正文)" w:hAnsi="等线(中文正文)" w:cs="等线(中文正文)" w:eastAsia="等线(中文正文)"/>
          <w:b w:val="false"/>
          <w:i w:val="false"/>
          <w:sz w:val="20"/>
        </w:rPr>
        <w:t>我们认为核心的原因就是它价格体系快速的一个下移。其实从复盘里的话，我们可以提炼出几个当年被系统性低估一个核心的变量。第一个就是供给弹性的被低估。我们认为这一层的核心误判，其实在于对这个价格体系重构这样速度的一个误判。市场预期其实市场都会预期到竞争加剧肯定是会渐进式的去压低价格体系，但实际结果是随着渗速度的远超一个预期，也就是寡淡的窗口期，从之前所认为的3到5年快速发展到不到两年。进而它的供给扩容对业绩的冲击也不再是渐进式的侵蚀，而是产生了一个一次性且不可逆的一个大幅的冲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06:20</w:t>
      </w:r>
    </w:p>
    <w:p>
      <w:r>
        <w:rPr>
          <w:rFonts w:ascii="等线(中文正文)" w:hAnsi="等线(中文正文)" w:cs="等线(中文正文)" w:eastAsia="等线(中文正文)"/>
          <w:b w:val="false"/>
          <w:i w:val="false"/>
          <w:sz w:val="20"/>
        </w:rPr>
        <w:t>第二个就是技术壁垒的一个区分度，其实上被高估了。可以看到一方面是我们之前提到的获证的这样的一个技术。一旦获证的壁垒和这个政策上的一些审批，比如说他的政策的一些激励上一旦可以形成共振。那我们之前所说的牌照的红利或者牌照上的壁垒，其实它同样是比我们想象的要更加的脆弱，寡淡期也会快速的缩短。</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06:42</w:t>
      </w:r>
    </w:p>
    <w:p>
      <w:r>
        <w:rPr>
          <w:rFonts w:ascii="等线(中文正文)" w:hAnsi="等线(中文正文)" w:cs="等线(中文正文)" w:eastAsia="等线(中文正文)"/>
          <w:b w:val="false"/>
          <w:i w:val="false"/>
          <w:sz w:val="20"/>
        </w:rPr>
        <w:t>第二点就是其实他除了壁垒之外，可以说它在技术上还有一些工程上的差异。但是这些差异的话来说，他们确实会形成一些差异化的定价。但是同样这些定价的稳固以及区分程度也比我们想。要小。比如说当从成分如果是同为PLA或者PCL时，那么它的工程化细节，比如说它在粒径以及一些富栄工艺和后费方式上，虽然是具备一定的专业意义的，但其实大家可以看到在这个C端的比价就是强，以及平台货架这样一个强力冲击之下，它是完全不足以去阻挡这些低价竞品对整体已有的一些高端的产品，它的一个份额上的一个侵蚀。你可以说快速的同质化之下，这些技术细节还是难以去支撑全民的一个高端溢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07:19</w:t>
      </w:r>
    </w:p>
    <w:p>
      <w:r>
        <w:rPr>
          <w:rFonts w:ascii="等线(中文正文)" w:hAnsi="等线(中文正文)" w:cs="等线(中文正文)" w:eastAsia="等线(中文正文)"/>
          <w:b w:val="false"/>
          <w:i w:val="false"/>
          <w:sz w:val="20"/>
        </w:rPr>
        <w:t>第三点的话就是我们还是可以看到，渠道和平台的定价权其实是被忽视的那信阳的平台方它是以代工产能的形式去做一个贴牌，它的采购成本可能只有仅仅只有小几百元，但是远低于之前像因为兰它四千多元的一个采购成本。从而去将终端的价格大幅的拉低。同样是在C端的比价的一个习惯之下，可以说信仰最主要的除了是他直接拉低竞品的价格之外，也大幅的拉低消费者的一个价格。所以它对整体的医美这样的一个厂商框架体系都形成了一个大幅的一个冲击。所以根据以上三点来看，可以说上游品牌其实对价格冲击力控制力比我们想象中的要脆弱的要更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07:56</w:t>
      </w:r>
    </w:p>
    <w:p>
      <w:r>
        <w:rPr>
          <w:rFonts w:ascii="等线(中文正文)" w:hAnsi="等线(中文正文)" w:cs="等线(中文正文)" w:eastAsia="等线(中文正文)"/>
          <w:b w:val="false"/>
          <w:i w:val="false"/>
          <w:sz w:val="20"/>
        </w:rPr>
        <w:t>第四点我们还关注到了一点，就是在至少从现在的一个可以说是负面时代来看，它的负面的外部性其实是被低估的。我们可以看到在小红书这些平台上，用户会去自发的讨论它产品的副作用。其实对同时其实平台在对医美注射的内容严格监管的情况下，这些内容中其实可能一些负面的作用的内容会显著多一些推荐类的作用。尤其像比如说它确实存在的一些像馒化和结节这些不良反应，很容易在什么时代迎来一个放大。而这类的话对品牌心智的一个负面思想是具有一个持续的，而且是比较显著的，会形成一个长尾的一个效果。因此它是会大幅的限制品牌在当前对市场进行一个正面教育这样的一个能力。认为在这种环境之下，消费者对品牌容错率是非常低的那一次的负面体验可能就会导致这个新客永久性的一个流失。但因此在成分副作用是无法消根本消除这样一个前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08:49</w:t>
      </w:r>
    </w:p>
    <w:p>
      <w:r>
        <w:rPr>
          <w:rFonts w:ascii="等线(中文正文)" w:hAnsi="等线(中文正文)" w:cs="等线(中文正文)" w:eastAsia="等线(中文正文)"/>
          <w:b w:val="false"/>
          <w:i w:val="false"/>
          <w:sz w:val="20"/>
        </w:rPr>
        <w:t>请关注公众号思维纪要社，更多纪要请加V西安20210130。私下我们认为医生教育和渠道管控其实是最核心也最有效的一控制手段。因此可以说因为它品牌心智的建立和延续，也从之前这样单纯的去依赖一个大品牌，也转向了需要品牌方去对渠道进行一个更加精细化的运营管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09:11</w:t>
      </w:r>
    </w:p>
    <w:p>
      <w:r>
        <w:rPr>
          <w:rFonts w:ascii="等线(中文正文)" w:hAnsi="等线(中文正文)" w:cs="等线(中文正文)" w:eastAsia="等线(中文正文)"/>
          <w:b w:val="false"/>
          <w:i w:val="false"/>
          <w:sz w:val="20"/>
        </w:rPr>
        <w:t>从以上的复盘其实可以清楚的看到，医美产业链的议价权确实它在发生一个系统性的向下游的一个迁移。第一层是因为牌照贴性的溢价消退，从而去削弱了品牌端的一个建议价能力。过去的话30医疗器械证其实是一家医美企业最大的一个壁垒。所以现这可能就能吃到三年以上的一个红利。但实际上在MPI审批提速之后，你可以看到获胜其实不再是难题。更关键是像目前来说获胜，它可以给后发者带来一个示范效应，其实是降低了后发者追赶这样一个难度。也可以说整体医美它赛道后续的进入者，它的门槛被系统性的降低了。当这个证件不再是铁杠杆的时候，其实平台端的一定价权，它这样一个根基就已经被动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09:47</w:t>
      </w:r>
    </w:p>
    <w:p>
      <w:r>
        <w:rPr>
          <w:rFonts w:ascii="等线(中文正文)" w:hAnsi="等线(中文正文)" w:cs="等线(中文正文)" w:eastAsia="等线(中文正文)"/>
          <w:b w:val="false"/>
          <w:i w:val="false"/>
          <w:sz w:val="20"/>
        </w:rPr>
        <w:t>第二层就是同质化竞争的加剧，使得单品的定价权会向渠道上去迁移。其实对于童颜症来说，当17款产品他们的成分的趋同，品牌力确实是会成为一个区分的关键。但是品牌力建设同时又需要时间和投入，而国内厂家去更多的侧重可能是个性维护这方面。B端的资支持和C端的曝光度相对来说是比较薄弱的，更何况又叠加电商平台可能对医美这块宣传的一个限制，可以说品牌心智并不是非常的牢牢固。而此时如果你去能掌握流量和比价能力的一个渠道方，比如说像新氧，它就是具备了一定定价权，可以使用代工贴牌这样的一个方式，以及其采购成本去推出自有品牌的一个产品。从而去把终端价格达到一个非常低的情况。那一旦的价格的锚点被冲突之后，可能所有的品牌都会被迫的跟进而去忽略一个，不管说这个品牌是否有一个品牌的溢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10:30</w:t>
      </w:r>
    </w:p>
    <w:p>
      <w:r>
        <w:rPr>
          <w:rFonts w:ascii="等线(中文正文)" w:hAnsi="等线(中文正文)" w:cs="等线(中文正文)" w:eastAsia="等线(中文正文)"/>
          <w:b w:val="false"/>
          <w:i w:val="false"/>
          <w:sz w:val="20"/>
        </w:rPr>
        <w:t>第三层就是可以看到下游机构的一些能力提升。同样也是由于产品供给有之前的一个非常稀缺，到现在可以说是一个丰富度大幅提高。到了一个环境医美机构的选择也会增多，采购成本自然也会下降。同时机构去通过产品组合和联合治疗的方式，还是可以去提升自己的客单价和客户粘性的那因此他对单一品牌的热度依赖度也就会降低了。从而一家全会进一步由品牌方向下游进行一个迁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10:51</w:t>
      </w:r>
    </w:p>
    <w:p>
      <w:r>
        <w:rPr>
          <w:rFonts w:ascii="等线(中文正文)" w:hAnsi="等线(中文正文)" w:cs="等线(中文正文)" w:eastAsia="等线(中文正文)"/>
          <w:b w:val="false"/>
          <w:i w:val="false"/>
          <w:sz w:val="20"/>
        </w:rPr>
        <w:t>我们认为地下城迁移最直接的印证就是代理模式一个系统性的衰退。在之前还是医美产品可能是在国内一阵难求，但是海外已经百花齐放。这样一个时期，代理商其实是好产品去进入国内打开市场的一个不二之选。或者说当时的产品和证照才是绝对壁垒。但是现在的话，上游供给快速扩容，扩张不再是最大难题之下，代理模式下的基础也会被瓦解。我们认为代理模式在议价权迁移中首当其冲的原因就是因为代理商的全部价值还是建立在我能帮你在拿了之后帮你拿证，并且帮你铺货这个逻辑上。但是当拿证不再稀缺，铺货门槛也降低的时候，代理商的核心价值就是被抽空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11:23</w:t>
      </w:r>
    </w:p>
    <w:p>
      <w:r>
        <w:rPr>
          <w:rFonts w:ascii="等线(中文正文)" w:hAnsi="等线(中文正文)" w:cs="等线(中文正文)" w:eastAsia="等线(中文正文)"/>
          <w:b w:val="false"/>
          <w:i w:val="false"/>
          <w:sz w:val="20"/>
        </w:rPr>
        <w:t>更关键的是代理商模式它其实天然的存在一个结构性的这样一个脆弱。一个就是它的供应链。供应链上的话其实在以上可以说是受制于人。也就是说他完全是依赖于和上游供货方的一个协议。一旦上游出现一个变故，比如说像股东变动，策略调整，甚至说他想去更换代理商，那就可能会打形成一个办公这样的格局。而从下游机构的视角来看，办公的风险本身就可能让他们在产品可替代时，坚决的去选择做一个切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11:46</w:t>
      </w:r>
    </w:p>
    <w:p>
      <w:r>
        <w:rPr>
          <w:rFonts w:ascii="等线(中文正文)" w:hAnsi="等线(中文正文)" w:cs="等线(中文正文)" w:eastAsia="等线(中文正文)"/>
          <w:b w:val="false"/>
          <w:i w:val="false"/>
          <w:sz w:val="20"/>
        </w:rPr>
        <w:t>第二点就是他的学术话语权是非常弱的。我们可以说只有拥有产品的公司，其实他才能去主导临床研究，以及去定义医生的培训体系。代理商还是只能围绕产品特性去做一些推广。在之后这个监管越来越强的这样的一个时代，他的制药市场交易能力是非常受限的那第三点，就是从境外商代理商本身来看，它的利润分配是比较被动的那毕竟这部分利润大头还是要分给原告方的，营销费用确实是由代理商自己去承担的。那些之前在做中他的结局其实也标志着纯代理模式在注意加权迁移，增加一边人的困境。但是我们认为这不一个意思是说代理模式是完全没有出路的，或者说目前的代理商他们就是完全一面的，关键的还是在于代理关系的一个深度，以及说是否能向更可控的模式去进行一个演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12:25</w:t>
      </w:r>
    </w:p>
    <w:p>
      <w:r>
        <w:rPr>
          <w:rFonts w:ascii="等线(中文正文)" w:hAnsi="等线(中文正文)" w:cs="等线(中文正文)" w:eastAsia="等线(中文正文)"/>
          <w:b w:val="false"/>
          <w:i w:val="false"/>
          <w:sz w:val="20"/>
        </w:rPr>
        <w:t>自然溢价权的迁移是一个不可逆的一个趋势，我们认为这个过程中如果去分析谁最有机会的话，那首先可以看到是在行业整体这样一个量增价跌的一个大背景之下，下游的机会是非常明确的那除了像轻医美，它可以在收入端达成一个快速的扩张。下游的连锁其实这些头部机构还有望去享受采购成本下降以及可选产品丰富度提升这样的一个利润的一个修复弹性机会。虽然说上游这块的话整体情况可能相对来说没有下游这么的乐观，但是我们认为结构性机会依然是存在的那核心就还是在于它从之前的牌照红利转向一个运营的红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12:56</w:t>
      </w:r>
    </w:p>
    <w:p>
      <w:r>
        <w:rPr>
          <w:rFonts w:ascii="等线(中文正文)" w:hAnsi="等线(中文正文)" w:cs="等线(中文正文)" w:eastAsia="等线(中文正文)"/>
          <w:b w:val="false"/>
          <w:i w:val="false"/>
          <w:sz w:val="20"/>
        </w:rPr>
        <w:t>其中目前来说上游的这些医美公司可以分为三类。第一类的话就是像这些先发的龙头，它其实是可以通过一些适应性拓展以及去产品的迭代，去巩固自身高端的定位，从而去守住它自己的价格带。比如说像可乐美的苏联翠以及华东医药的这个厌世。第二点，就是，第二类企业就是像这些平台化的药企，它是可以通过多个证件去走一个持续放量这样一个道路。比如说像四环，它就可以通过像同一症少女针以及肉毒、玻尿酸、水光它的一个全品类的布局，去打造一些标杆的联合治疗方案。从而去形成一个多规格，去覆盖一个多的价格带，形成一个组合化的销售。第三个还是一部分药企，比如说像华西，还是可以通过代理去引进快，从而快速形成一个阶段性的卡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13:36</w:t>
      </w:r>
    </w:p>
    <w:p>
      <w:r>
        <w:rPr>
          <w:rFonts w:ascii="等线(中文正文)" w:hAnsi="等线(中文正文)" w:cs="等线(中文正文)" w:eastAsia="等线(中文正文)"/>
          <w:b w:val="false"/>
          <w:i w:val="false"/>
          <w:sz w:val="20"/>
        </w:rPr>
        <w:t>今天我们核心的说一下平台化这个方向。平台化其实它不是简单的去多带了几个产品，而是说要具备以下333个能力。第一个是它需要去具备产品矩阵的一个厚度。因为平台化是需要公司不再去依赖单一的一个爆品，而是要去通过覆盖不同的价格带，不同的适应性以及不同材料类型这样的一个方式。比如说像高端的话就是做利润，中低端的话可能就是放量，低端的话可能侧重于去引流。的产品组合去联合的提升一个客单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14:03</w:t>
      </w:r>
    </w:p>
    <w:p>
      <w:r>
        <w:rPr>
          <w:rFonts w:ascii="等线(中文正文)" w:hAnsi="等线(中文正文)" w:cs="等线(中文正文)" w:eastAsia="等线(中文正文)"/>
          <w:b w:val="false"/>
          <w:i w:val="false"/>
          <w:sz w:val="20"/>
        </w:rPr>
        <w:t>第二个是要拥有自由产能和一个研发能力，毕竟我们在刚刚分析存在的模式也有提到。如果想要去代理摆脱它的一个供应链的风险，至少它的核心产品是需要有掌控力的。但是不一定是全部的资源，但是必须要对供应的稳定性是一个保障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14:15</w:t>
      </w:r>
    </w:p>
    <w:p>
      <w:r>
        <w:rPr>
          <w:rFonts w:ascii="等线(中文正文)" w:hAnsi="等线(中文正文)" w:cs="等线(中文正文)" w:eastAsia="等线(中文正文)"/>
          <w:b w:val="false"/>
          <w:i w:val="false"/>
          <w:sz w:val="20"/>
        </w:rPr>
        <w:t>第三点就是对品牌运能力有非常高的要求。第一个就是要求要对渠道和医生形成一个深度的绑定。那不只是卖货给机构，而是去帮机构去做一个联合治疗方案，以及去做医生培训，做教育。可以说给机构机构的价值越高的话，机构切换的成本其实也越高的那同时也要同步的去做一些B端信息的信任和一些C端消费者的一些认知。进而去对他的品牌心智上做一个长久的投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14:38</w:t>
      </w:r>
    </w:p>
    <w:p>
      <w:r>
        <w:rPr>
          <w:rFonts w:ascii="等线(中文正文)" w:hAnsi="等线(中文正文)" w:cs="等线(中文正文)" w:eastAsia="等线(中文正文)"/>
          <w:b w:val="false"/>
          <w:i w:val="false"/>
          <w:sz w:val="20"/>
        </w:rPr>
        <w:t>平台化的两大样本，一个就是四环医药，还有一个是华东。四环的话他其实明确的走了一条从新的大业到自研这样的一个转型之路。之前的话来说，四环主要是因为它的保障，所以被归为而乐提宝被归为一个代理模式。但是因为它和乐提宝的一个原厂然后原厂商在中国合资建厂，去实现一个本地化供应，达成这样一个深度绑定。所以目前来说，其实它已经显著区别于单纯的一个代理关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15:01</w:t>
      </w:r>
    </w:p>
    <w:p>
      <w:r>
        <w:rPr>
          <w:rFonts w:ascii="等线(中文正文)" w:hAnsi="等线(中文正文)" w:cs="等线(中文正文)" w:eastAsia="等线(中文正文)"/>
          <w:b w:val="false"/>
          <w:i w:val="false"/>
          <w:sz w:val="20"/>
        </w:rPr>
        <w:t>目前来说，李宝嘉在国内的肉毒市场表现都是比较靠前的，而且四环仍然是握有肉毒和玻尿酸的一个中国的国家独家的代理权。所以可以说还是为他的医美业务提供一个非常稳固的基本。更重要的是可以看到四环正在加速的向平台化去做一个转型，尤其是他通过之前代理去积累的一个渠道资本，向自研和平台化的一个方向去布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15:20</w:t>
      </w:r>
    </w:p>
    <w:p>
      <w:r>
        <w:rPr>
          <w:rFonts w:ascii="等线(中文正文)" w:hAnsi="等线(中文正文)" w:cs="等线(中文正文)" w:eastAsia="等线(中文正文)"/>
          <w:b w:val="false"/>
          <w:i w:val="false"/>
          <w:sz w:val="20"/>
        </w:rPr>
        <w:t>目前来说公司代言的项目大概有四十多个，2026年它的临床这个项目有24个。预计未来每年都会有3到5个产品的获批。目前来说它的自由颜色复原，然后以及其他材料的差异已经是上市了。并且像PHA等其他的材料，它的差异化改进还在推进。同时公司也已经搭建了覆盖8000名以上一个医生这样的医生库，去提供一个学术的培训和运营的一个赋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15:42</w:t>
      </w:r>
    </w:p>
    <w:p>
      <w:r>
        <w:rPr>
          <w:rFonts w:ascii="等线(中文正文)" w:hAnsi="等线(中文正文)" w:cs="等线(中文正文)" w:eastAsia="等线(中文正文)"/>
          <w:b w:val="false"/>
          <w:i w:val="false"/>
          <w:sz w:val="20"/>
        </w:rPr>
        <w:t>而且同时在国际化上，公司也有做一定的布局。一方面是收购了美国的一个研发中心和瑞士的sn 2类公司的基地。他是拥有43个国家的销售系统，并且他在韩国也是设有产品的一个部门，为产品的出海奠定一个比较强大的一个基础。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15:56</w:t>
      </w:r>
    </w:p>
    <w:p>
      <w:r>
        <w:rPr>
          <w:rFonts w:ascii="等线(中文正文)" w:hAnsi="等线(中文正文)" w:cs="等线(中文正文)" w:eastAsia="等线(中文正文)"/>
          <w:b w:val="false"/>
          <w:i w:val="false"/>
          <w:sz w:val="20"/>
        </w:rPr>
        <w:t>目前公司股价分别对应2020年的P也仅仅只有12和8.5倍。我们认为这个估值水平主要还是反映市场对它之前这种纯代理模式风险的一个充分的定价。一方面是乐提葆代理权他在2028年到期所具备的一个风险敞口。第二个是目前来说对乐提葆这样一个单品依赖度还是比较高的。第三种就是公司整体目前医美还是学术话语权还是尚在一个构建中。但是我们认为可能市场目前来说它的公司的资源管线的一个多余的潜力，以及它这个自有的童年的一些产品，比如说像复颜它的一方面空间，以及他未来这样一个平台化的一个情绪。我们认为这块的估值潜力是没有进行一个充分定价。那未来，可能会去构成一个预期市场的预期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16:32</w:t>
      </w:r>
    </w:p>
    <w:p>
      <w:r>
        <w:rPr>
          <w:rFonts w:ascii="等线(中文正文)" w:hAnsi="等线(中文正文)" w:cs="等线(中文正文)" w:eastAsia="等线(中文正文)"/>
          <w:b w:val="false"/>
          <w:i w:val="false"/>
          <w:sz w:val="20"/>
        </w:rPr>
        <w:t>那第二个案例，华东医药，就是走了一条从买断到资源，这样去实现一个更深层一个绑定。他全资收购了新这家公司，直接是从源头去掌握了产品和一个专利。并且将少女生这样的一个技术带回国内去建设了一个完整的生产线，从而去实现一个国产化。这其实是从根源本上根源上来说，去解决了代理模式的一个供应链的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16:51</w:t>
      </w:r>
    </w:p>
    <w:p>
      <w:r>
        <w:rPr>
          <w:rFonts w:ascii="等线(中文正文)" w:hAnsi="等线(中文正文)" w:cs="等线(中文正文)" w:eastAsia="等线(中文正文)"/>
          <w:b w:val="false"/>
          <w:i w:val="false"/>
          <w:sz w:val="20"/>
        </w:rPr>
        <w:t>目前来华东医药它的这套模式市场认可度还是比较高的那目前来说它的资源管线也比较丰富，包括他同时也在布局自研的一个产品。在这个过程中，公司的制造背景也是为他的医美业务去提供一个质量体系和核能以及资金上的一个支持。也同样是平台化转型这样的一个基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17:10</w:t>
      </w:r>
    </w:p>
    <w:p>
      <w:r>
        <w:rPr>
          <w:rFonts w:ascii="等线(中文正文)" w:hAnsi="等线(中文正文)" w:cs="等线(中文正文)" w:eastAsia="等线(中文正文)"/>
          <w:b w:val="false"/>
          <w:i w:val="false"/>
          <w:sz w:val="20"/>
        </w:rPr>
        <w:t>目前华东医药对应2026到2027年的PE分别是13倍和12倍左右。可以说市场对他中晚期的稳定性还是给予了一个认可。毕竟他买来模式解决了供应链的一个问题，而且创新药的业务也提供了一个多样的支撑。但是这块估值并没有给到很高的溢价，说明我们认为主要是认为还是对以下几个问题持一个观望态度。一方面是品牌的生命周期管理，是否能顺这的去实现资源的一个激励。第二个就是竞品冲击剂，那么它的厌世的增长持续性如何？同时也包括了一定它大平台管理的一个复杂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17:37</w:t>
      </w:r>
    </w:p>
    <w:p>
      <w:r>
        <w:rPr>
          <w:rFonts w:ascii="等线(中文正文)" w:hAnsi="等线(中文正文)" w:cs="等线(中文正文)" w:eastAsia="等线(中文正文)"/>
          <w:b w:val="false"/>
          <w:i w:val="false"/>
          <w:sz w:val="20"/>
        </w:rPr>
        <w:t>综合来看，其实市场对平台化这个商业模式以及对应的公司它的估值分层还是非常清楚的那对于纯代理风险这块上面没有出清的公司，估值的水平还是比较低的。而对于买单模式去解决稳定性的公司，估值有一定的修复空间，但是空间是比较有限。第三点，对于平台化能力得到验证，公司可能最后是才会给予他持续的一个估值价。那我们认为在议价权迁移这样的一个大局之下，谁能去最快的其他的产品取证，去形成一个联合制造能力，与他形态的一个渠道形成一共振，谁才更有可能有机会在这一轮的行业洗牌中胜出。目前的估值已经充分去反映了代理风险了。但是平台化转型这样一个价值尚未被认可的这块公司，其实可能蕴含着行业内最大的预期差速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18:15</w:t>
      </w:r>
    </w:p>
    <w:p>
      <w:r>
        <w:rPr>
          <w:rFonts w:ascii="等线(中文正文)" w:hAnsi="等线(中文正文)" w:cs="等线(中文正文)" w:eastAsia="等线(中文正文)"/>
          <w:b w:val="false"/>
          <w:i w:val="false"/>
          <w:sz w:val="20"/>
        </w:rPr>
        <w:t>总结一下，增强核心三观点。第一点就是在生医美的之前三年的上个周期，其实也是验证一个规律。就是世界红照其实是不可持续的。而且拐杖窗口其实可能要比远期远比想象的是要短的，而高价体系也要比想象中的要更加的脆弱。目前来说渠道的零甲醛已经涉煤的负面的外部性放量，他可能这些变量被系统性的一个低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18:34</w:t>
      </w:r>
    </w:p>
    <w:p>
      <w:r>
        <w:rPr>
          <w:rFonts w:ascii="等线(中文正文)" w:hAnsi="等线(中文正文)" w:cs="等线(中文正文)" w:eastAsia="等线(中文正文)"/>
          <w:b w:val="false"/>
          <w:i w:val="false"/>
          <w:sz w:val="20"/>
        </w:rPr>
        <w:t>第二点就是议价权正在从上游的品牌方向向渠道和下游进行一个迁移。而代理模式的衰退就是这个趋势的一个缩影。可以说在获胜不再是最大的难题的时候，那么它单纯的渠道价值就很容易被抽空。第三点，平台化是对应是应平台化是上游去应对一价权迁移这样的一个关键的方向。其中产品矩阵它自由的产能渠道的是否有深度绑定，以及品牌的运营和国际化的能力，都可能去定义这个公司未来的一个平台化的能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18:58</w:t>
      </w:r>
    </w:p>
    <w:p>
      <w:r>
        <w:rPr>
          <w:rFonts w:ascii="等线(中文正文)" w:hAnsi="等线(中文正文)" w:cs="等线(中文正文)" w:eastAsia="等线(中文正文)"/>
          <w:b w:val="false"/>
          <w:i w:val="false"/>
          <w:sz w:val="20"/>
        </w:rPr>
        <w:t>第四点就是从估值上来看，市场其实已经充分的甚至过度的去定价一个过去代理模式的一个风险。但是部分的公司它是向平台化转型，这样一个钱的价值是尚没有被充分记录的那四环和华东就分别代表了两种不同的路径。我们认为这两条路径的一个验证结果，可能将决定下一轮英美上游格局的一个作息变化。以上就是我今天的一个汇报，谢谢各位的时间，感谢大家参加本次会议。用AI进宝获得优质复盘资料，更多专业AI工具和投研内容，打开进门APP领取会员体验，祝您工作顺利，再见。</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2026-08-20T00:52:16Z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E6636BB100BBAFBB4581D91E6DDB8A046359BE8C53FDD090CA24463F47DFE5FA1E9B9DEC4E5BECD4A81A971E381F40AC5462E4C3125B28BB54359C765102CEF3C839435</vt:lpwstr>
  </property>
</Properties>
</file>