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中金公司 - 中金8月数说资产 260817_导读</w:t>
      </w:r>
    </w:p>
    <w:p>
      <w:pPr>
        <w:pStyle w:val="a0"/>
        <w:jc w:val="center"/>
      </w:pPr>
      <w:r>
        <w:t>2026年08月17日 22:20</w:t>
      </w:r>
    </w:p>
    <w:p>
      <w:pPr>
        <w:pStyle w:val="a7"/>
      </w:pPr>
      <w:r>
        <w:t>关键词</w:t>
      </w:r>
    </w:p>
    <w:p>
      <w:r>
        <w:rPr>
          <w:rFonts w:ascii="等线(中文正文)" w:hAnsi="等线(中文正文)" w:cs="等线(中文正文)" w:eastAsia="等线(中文正文)"/>
          <w:b w:val="false"/>
          <w:i w:val="false"/>
          <w:sz w:val="20"/>
        </w:rPr>
        <w:t xml:space="preserve">工业增加值 需求偏弱 供给端 能源冲击 信贷需求 货币政策 财政支出 政策发力 固定投资 制造业投资 房地产销售 信贷 企业贷款 港口 水电处理 火电耗煤 淡季需求 钢材出口 铁矿进口 精炼铜产量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2023年7月，中国宏观经济数据呈现疲软态势，总量增长减速，工业增加值同比增速降至4.5%，受自然灾害与季节性因素影响。需求疲软，投资与消费增速下滑，供给端因能源冲击承压。尽管面临下行压力，高新技术产业投资仍保持增长。政策方面，预计财政与货币政策将加码，以应对经济挑战。各行业表现分化，房地产与高新技术产业展现韧性，传统制造业和消费领域则面临困难。下半年，宏观经济趋势、投资策略及具体行业展望成为焦点，强调政策调整的迫切性和投资机会的挖掘。</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7月经济数据疲软，政策加码可能性上升</w:t>
      </w:r>
    </w:p>
    <w:p>
      <w:r>
        <w:rPr>
          <w:rFonts w:ascii="等线(中文正文)" w:hAnsi="等线(中文正文)" w:cs="等线(中文正文)" w:eastAsia="等线(中文正文)"/>
          <w:b w:val="false"/>
          <w:i w:val="false"/>
          <w:sz w:val="20"/>
        </w:rPr>
        <w:t>7月经济数据显示总量下行，结构分化持续，工业增加值、社零总额等指标增速放缓，消费需求和投资均显疲软。尽管高技术产业投资保持增长，但整体制造业和房地产投资下降。金融数据也显示信贷需求偏弱。面对经济下行压力，政策空间尤其是财政政策有待释放，下半年可能通过增加政府债券发行、央行流动性投放等措施应对，政策加码的必要性和可能性均在上升。</w:t>
      </w:r>
    </w:p>
    <w:p>
      <w:r>
        <w:rPr>
          <w:rFonts w:ascii="等线(中文正文)" w:hAnsi="等线(中文正文)" w:cs="等线(中文正文)" w:eastAsia="等线(中文正文)"/>
          <w:b w:val="false"/>
          <w:i w:val="false"/>
          <w:sz w:val="20"/>
        </w:rPr>
        <w:t/>
      </w:r>
    </w:p>
    <w:p>
      <w:pPr>
        <w:pStyle w:val="ab"/>
        <w:numPr>
          <w:numId w:val="2"/>
        </w:numPr>
      </w:pPr>
      <w:r>
        <w:t>06:17 市场策略分析与二次买点提示</w:t>
      </w:r>
    </w:p>
    <w:p>
      <w:r>
        <w:rPr>
          <w:rFonts w:ascii="等线(中文正文)" w:hAnsi="等线(中文正文)" w:cs="等线(中文正文)" w:eastAsia="等线(中文正文)"/>
          <w:b w:val="false"/>
          <w:i w:val="false"/>
          <w:sz w:val="20"/>
        </w:rPr>
        <w:t>经济数据低于预期，但政策落实与企业盈利增长成亮点。股市方面，A股中报披露密集，非金融企业盈利增速提升，AI产业表现强劲。市场经历大跌后出现二次买点，反弹特征与历史相似，驱动因素包括AI产业链负面因素缓解、美元流动性改善预期及国内基本面积极信号。科技板块反弹至套牢密集区，但有利因素支撑下，反弹有望持续，回调时建议加仓。</w:t>
      </w:r>
    </w:p>
    <w:p>
      <w:r>
        <w:rPr>
          <w:rFonts w:ascii="等线(中文正文)" w:hAnsi="等线(中文正文)" w:cs="等线(中文正文)" w:eastAsia="等线(中文正文)"/>
          <w:b w:val="false"/>
          <w:i w:val="false"/>
          <w:sz w:val="20"/>
        </w:rPr>
        <w:t/>
      </w:r>
    </w:p>
    <w:p>
      <w:pPr>
        <w:pStyle w:val="ab"/>
        <w:numPr>
          <w:numId w:val="3"/>
        </w:numPr>
      </w:pPr>
      <w:r>
        <w:t>09:59 AI产业链投资策略与行业配置建议</w:t>
      </w:r>
    </w:p>
    <w:p>
      <w:r>
        <w:rPr>
          <w:rFonts w:ascii="等线(中文正文)" w:hAnsi="等线(中文正文)" w:cs="等线(中文正文)" w:eastAsia="等线(中文正文)"/>
          <w:b w:val="false"/>
          <w:i w:val="false"/>
          <w:sz w:val="20"/>
        </w:rPr>
        <w:t>讨论了AI产业链投资策略，建议关注技术壁垒强、订单可见度高的龙头公司及产能瓶颈环节，同时在能源转型、产能周期改善等行业进行配置，推荐自由现金流稳定、分红持续的红利标作为底仓。</w:t>
      </w:r>
    </w:p>
    <w:p>
      <w:r>
        <w:rPr>
          <w:rFonts w:ascii="等线(中文正文)" w:hAnsi="等线(中文正文)" w:cs="等线(中文正文)" w:eastAsia="等线(中文正文)"/>
          <w:b w:val="false"/>
          <w:i w:val="false"/>
          <w:sz w:val="20"/>
        </w:rPr>
        <w:t/>
      </w:r>
    </w:p>
    <w:p>
      <w:pPr>
        <w:pStyle w:val="ab"/>
        <w:numPr>
          <w:numId w:val="4"/>
        </w:numPr>
      </w:pPr>
      <w:r>
        <w:t>11:38 固收市场分析与债券配置建议</w:t>
      </w:r>
    </w:p>
    <w:p>
      <w:r>
        <w:rPr>
          <w:rFonts w:ascii="等线(中文正文)" w:hAnsi="等线(中文正文)" w:cs="等线(中文正文)" w:eastAsia="等线(中文正文)"/>
          <w:b w:val="false"/>
          <w:i w:val="false"/>
          <w:sz w:val="20"/>
        </w:rPr>
        <w:t>七月经济数据偏弱，投资端表现疲软，对应融资需求减弱，对债券市场构成利好。近期长端利率震荡下行，十年国债收益率下降，超长端表现亮眼，30年与十年国债利差压缩，建议投资者积极配置债券，尤其是关注30年国债的投资机会。预计传统经济偏弱将加速货币政策放松，利好债券市场。</w:t>
      </w:r>
    </w:p>
    <w:p>
      <w:r>
        <w:rPr>
          <w:rFonts w:ascii="等线(中文正文)" w:hAnsi="等线(中文正文)" w:cs="等线(中文正文)" w:eastAsia="等线(中文正文)"/>
          <w:b w:val="false"/>
          <w:i w:val="false"/>
          <w:sz w:val="20"/>
        </w:rPr>
        <w:t/>
      </w:r>
    </w:p>
    <w:p>
      <w:pPr>
        <w:pStyle w:val="ab"/>
        <w:numPr>
          <w:numId w:val="5"/>
        </w:numPr>
      </w:pPr>
      <w:r>
        <w:t>13:46 七月份大宗商品市场基本面分析</w:t>
      </w:r>
    </w:p>
    <w:p>
      <w:r>
        <w:rPr>
          <w:rFonts w:ascii="等线(中文正文)" w:hAnsi="等线(中文正文)" w:cs="等线(中文正文)" w:eastAsia="等线(中文正文)"/>
          <w:b w:val="false"/>
          <w:i w:val="false"/>
          <w:sz w:val="20"/>
        </w:rPr>
        <w:t>七月份大宗商品市场基本面呈现分化态势，能源需求季节性改善，但炼油需求未明显好转；煤炭因安全趋严导致供给收缩，需求侧受高温影响；黑色工业品需求偏弱，库存压力高；铜基本面较强，铝高位震荡；农产品供需偏宽松，但美豆因贸易预期走强。</w:t>
      </w:r>
    </w:p>
    <w:p>
      <w:r>
        <w:rPr>
          <w:rFonts w:ascii="等线(中文正文)" w:hAnsi="等线(中文正文)" w:cs="等线(中文正文)" w:eastAsia="等线(中文正文)"/>
          <w:b w:val="false"/>
          <w:i w:val="false"/>
          <w:sz w:val="20"/>
        </w:rPr>
        <w:t/>
      </w:r>
    </w:p>
    <w:p>
      <w:pPr>
        <w:pStyle w:val="ab"/>
        <w:numPr>
          <w:numId w:val="6"/>
        </w:numPr>
      </w:pPr>
      <w:r>
        <w:t>19:03 七月金融数据与银行板块观点分析</w:t>
      </w:r>
    </w:p>
    <w:p>
      <w:r>
        <w:rPr>
          <w:rFonts w:ascii="等线(中文正文)" w:hAnsi="等线(中文正文)" w:cs="等线(中文正文)" w:eastAsia="等线(中文正文)"/>
          <w:b w:val="false"/>
          <w:i w:val="false"/>
          <w:sz w:val="20"/>
        </w:rPr>
        <w:t>七月金融数据显示贷款降速提质，存款搬家放缓，信贷结构优化，银行板块息差与盈利影响可控，资产端优化有助于缓解收益率下行压力，负债端高成本存款到期重定价推动负债成本改善。</w:t>
      </w:r>
    </w:p>
    <w:p>
      <w:r>
        <w:rPr>
          <w:rFonts w:ascii="等线(中文正文)" w:hAnsi="等线(中文正文)" w:cs="等线(中文正文)" w:eastAsia="等线(中文正文)"/>
          <w:b w:val="false"/>
          <w:i w:val="false"/>
          <w:sz w:val="20"/>
        </w:rPr>
        <w:t/>
      </w:r>
    </w:p>
    <w:p>
      <w:pPr>
        <w:pStyle w:val="ab"/>
        <w:numPr>
          <w:numId w:val="7"/>
        </w:numPr>
      </w:pPr>
      <w:r>
        <w:t>23:06 银行息差与房地产市场稳健分析</w:t>
      </w:r>
    </w:p>
    <w:p>
      <w:r>
        <w:rPr>
          <w:rFonts w:ascii="等线(中文正文)" w:hAnsi="等线(中文正文)" w:cs="等线(中文正文)" w:eastAsia="等线(中文正文)"/>
          <w:b w:val="false"/>
          <w:i w:val="false"/>
          <w:sz w:val="20"/>
        </w:rPr>
        <w:t>银行息差预计延续企稳，中报业绩有望改善，板块具配置价值。房地产方面，销售量价表现稳健，新房成交面积同比跌幅收窄，二手房成交面积同比增幅扩大，整体住房交易量同比微跌，价格维持头部平稳、中尾部微跌态势，北京楼市新政预计带来积极影响。</w:t>
      </w:r>
    </w:p>
    <w:p>
      <w:r>
        <w:rPr>
          <w:rFonts w:ascii="等线(中文正文)" w:hAnsi="等线(中文正文)" w:cs="等线(中文正文)" w:eastAsia="等线(中文正文)"/>
          <w:b w:val="false"/>
          <w:i w:val="false"/>
          <w:sz w:val="20"/>
        </w:rPr>
        <w:t/>
      </w:r>
    </w:p>
    <w:p>
      <w:pPr>
        <w:pStyle w:val="ab"/>
        <w:numPr>
          <w:numId w:val="8"/>
        </w:numPr>
      </w:pPr>
      <w:r>
        <w:t>26:47 地产投资现状与未来趋势分析</w:t>
      </w:r>
    </w:p>
    <w:p>
      <w:r>
        <w:rPr>
          <w:rFonts w:ascii="等线(中文正文)" w:hAnsi="等线(中文正文)" w:cs="等线(中文正文)" w:eastAsia="等线(中文正文)"/>
          <w:b w:val="false"/>
          <w:i w:val="false"/>
          <w:sz w:val="20"/>
        </w:rPr>
        <w:t>对话分析了地产投资在七月的疲软表现，包括投资、开工、竣工和施工面积的跌幅扩大。尽管头部城市的土拍带动土地成交金额同比降幅收窄，但面积仍偏弱，预示下半年开工表现将持续疲软。预计房产投资下半年将有阶段性收窄，但需前端销售尤其是价格趋势的明确带动建安投资修复。当前地产板块估值合理，政策预期酝酿，后市观点偏积极，建议优先关注销售预期和业绩兑现度好的龙头标的。</w:t>
      </w:r>
    </w:p>
    <w:p>
      <w:r>
        <w:rPr>
          <w:rFonts w:ascii="等线(中文正文)" w:hAnsi="等线(中文正文)" w:cs="等线(中文正文)" w:eastAsia="等线(中文正文)"/>
          <w:b w:val="false"/>
          <w:i w:val="false"/>
          <w:sz w:val="20"/>
        </w:rPr>
        <w:t/>
      </w:r>
    </w:p>
    <w:p>
      <w:pPr>
        <w:pStyle w:val="ab"/>
        <w:numPr>
          <w:numId w:val="9"/>
        </w:numPr>
      </w:pPr>
      <w:r>
        <w:t>29:22 社零数据与轻工零售美妆板块分析</w:t>
      </w:r>
    </w:p>
    <w:p>
      <w:r>
        <w:rPr>
          <w:rFonts w:ascii="等线(中文正文)" w:hAnsi="等线(中文正文)" w:cs="等线(中文正文)" w:eastAsia="等线(中文正文)"/>
          <w:b w:val="false"/>
          <w:i w:val="false"/>
          <w:sz w:val="20"/>
        </w:rPr>
        <w:t>报告了七月份社零数据同比增速回落，剔除汽车后增速亦放缓，与极端天气影响相关。以旧换新下滑，非以旧换新品类增长。必选品类韧性较强，可选品类分化。美妆板块跑赢，机构持仓底部，建议关注成长性突出及有望反转的公司。潮玩板块景气度高，头部企业优势明显，中报后或为入场时机。</w:t>
      </w:r>
    </w:p>
    <w:p>
      <w:r>
        <w:rPr>
          <w:rFonts w:ascii="等线(中文正文)" w:hAnsi="等线(中文正文)" w:cs="等线(中文正文)" w:eastAsia="等线(中文正文)"/>
          <w:b w:val="false"/>
          <w:i w:val="false"/>
          <w:sz w:val="20"/>
        </w:rPr>
        <w:t/>
      </w:r>
    </w:p>
    <w:p>
      <w:pPr>
        <w:pStyle w:val="ab"/>
        <w:numPr>
          <w:numId w:val="10"/>
        </w:numPr>
      </w:pPr>
      <w:r>
        <w:t>34:46 轻工板块市场分析与投资机会</w:t>
      </w:r>
    </w:p>
    <w:p>
      <w:r>
        <w:rPr>
          <w:rFonts w:ascii="等线(中文正文)" w:hAnsi="等线(中文正文)" w:cs="等线(中文正文)" w:eastAsia="等线(中文正文)"/>
          <w:b w:val="false"/>
          <w:i w:val="false"/>
          <w:sz w:val="20"/>
        </w:rPr>
        <w:t>轻工板块当前资金面处于明显低配状态，悲观预期已充分定价，抛压较小，市场风格转向价值防御，军工行情改善，外销企业受益于份额提升和关税降低，但面临成本压力；内销板块承压，家居品类增速下行，软体家居及电子烟龙头估值低位，具有防御性配置价值。</w:t>
      </w:r>
    </w:p>
    <w:p>
      <w:r>
        <w:rPr>
          <w:rFonts w:ascii="等线(中文正文)" w:hAnsi="等线(中文正文)" w:cs="等线(中文正文)" w:eastAsia="等线(中文正文)"/>
          <w:b w:val="false"/>
          <w:i w:val="false"/>
          <w:sz w:val="20"/>
        </w:rPr>
        <w:t/>
      </w:r>
    </w:p>
    <w:p>
      <w:pPr>
        <w:pStyle w:val="ab"/>
        <w:numPr>
          <w:numId w:val="11"/>
        </w:numPr>
      </w:pPr>
      <w:r>
        <w:t>37:57 建筑建材行业分析：需求疲软与出海趋势</w:t>
      </w:r>
    </w:p>
    <w:p>
      <w:r>
        <w:rPr>
          <w:rFonts w:ascii="等线(中文正文)" w:hAnsi="等线(中文正文)" w:cs="等线(中文正文)" w:eastAsia="等线(中文正文)"/>
          <w:b w:val="false"/>
          <w:i w:val="false"/>
          <w:sz w:val="20"/>
        </w:rPr>
        <w:t>会议讨论了建筑建材行业现状，指出固定资产投资下滑，尤其是基建、地产和制造业。专项债发行减少制约项目落地，但交通投资略有增长。建议关注高端制造、建筑出海及央企，建材方面优先推荐消费建材龙头，因地产触底带动装修需求。</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对当前经济情况进行了深入分析，指出7月份经济数据表现不佳，呈现总量下行趋势，同时产业新旧老分化态势持续。尽管遇到台风、高温等临时因素影响，但需求偏弱及供给端的能源冲击被认定为关键问题。讨论覆盖了生产端、投资消费、固定投资、高新技术产业投资、房地产销售与开发投资等多个方面，强调了这些因素对经济增速的显著影响。同时，他也提到了金融数据偏弱，但指出政策面对经济有潜在支持，包括财政政策的余地和可能的货币政策调整。尽管存在制约因素，他认为经济仍有反弹的可能性，特别是在政策加码和经济结构性改革背景下。总体而言，他认为经济增速虽有惯性，但政策必要性上升，强调政策和市场预期将是决定下半年经济表现的关键。</w:t>
      </w:r>
    </w:p>
    <w:p>
      <w:r>
        <w:rPr>
          <w:rFonts w:ascii="等线(中文正文)" w:hAnsi="等线(中文正文)" w:cs="等线(中文正文)" w:eastAsia="等线(中文正文)"/>
          <w:b w:val="false"/>
          <w:i w:val="false"/>
          <w:sz w:val="20"/>
        </w:rPr>
        <w:t/>
      </w:r>
    </w:p>
    <w:p>
      <w:pPr>
        <w:pStyle w:val="a7"/>
      </w:pPr>
      <w:r>
        <w:t>要点回顾</w:t>
      </w:r>
    </w:p>
    <w:p>
      <w:pPr>
        <w:pStyle w:val="ab"/>
      </w:pPr>
      <w:r>
        <w:t>七月份的经济数据情况如何？消费需求和投资方面的情况怎样？</w:t>
      </w:r>
    </w:p>
    <w:p>
      <w:r>
        <w:rPr>
          <w:rFonts w:ascii="等线(中文正文)" w:hAnsi="等线(中文正文)" w:cs="等线(中文正文)" w:eastAsia="等线(中文正文)"/>
          <w:b w:val="false"/>
          <w:i w:val="false"/>
          <w:sz w:val="20"/>
        </w:rPr>
        <w:t>发言人1：七月份的数据整体上并不理想，总量呈现下行态势。从生产端看，工业增加值同比增速放缓，由六月份的5.3%降至4.5%。这一放缓趋势部分归因于临时因素，如七月的台风、高温暴雨等自然灾害，但更主要的是需求偏弱和供给端的能源冲击仍在持续影响。消费需求方面，7月份社会消费品零售总额同比增长0.6%，比6月份进一步放缓0.4个百分点，其中汽车、建筑装潢、家具等分项增速扩大了降幅。投资方面，固定投资总体呈负增长，同比降幅扩大至6.7%，高新技术产业投资虽继续上升，但技术性降幅仍然在扩大，而高技术产业投资同比增长5.0%，低于1至6月的4.6%。</w:t>
      </w:r>
    </w:p>
    <w:p>
      <w:r>
        <w:rPr>
          <w:rFonts w:ascii="等线(中文正文)" w:hAnsi="等线(中文正文)" w:cs="等线(中文正文)" w:eastAsia="等线(中文正文)"/>
          <w:b w:val="false"/>
          <w:i w:val="false"/>
          <w:sz w:val="20"/>
        </w:rPr>
        <w:t/>
      </w:r>
    </w:p>
    <w:p>
      <w:pPr>
        <w:pStyle w:val="ab"/>
      </w:pPr>
      <w:r>
        <w:t>房地产和金融数据如何？</w:t>
      </w:r>
    </w:p>
    <w:p>
      <w:r>
        <w:rPr>
          <w:rFonts w:ascii="等线(中文正文)" w:hAnsi="等线(中文正文)" w:cs="等线(中文正文)" w:eastAsia="等线(中文正文)"/>
          <w:b w:val="false"/>
          <w:i w:val="false"/>
          <w:sz w:val="20"/>
        </w:rPr>
        <w:t>发言人1：房地产销售同比有所改善，但开发投资降幅继续扩大。金融数据显示，7月份信贷需求偏弱，居民贷款和企业贷款均有所减少，财政和政策性金融工具投资进度偏慢。总体来看，融资偏弱，但下半年政策空间依然存在，财政可能会加大债券发行力度，并有可能通过降准等方式增加流动性投放。</w:t>
      </w:r>
    </w:p>
    <w:p>
      <w:r>
        <w:rPr>
          <w:rFonts w:ascii="等线(中文正文)" w:hAnsi="等线(中文正文)" w:cs="等线(中文正文)" w:eastAsia="等线(中文正文)"/>
          <w:b w:val="false"/>
          <w:i w:val="false"/>
          <w:sz w:val="20"/>
        </w:rPr>
        <w:t/>
      </w:r>
    </w:p>
    <w:p>
      <w:pPr>
        <w:pStyle w:val="ab"/>
      </w:pPr>
      <w:r>
        <w:t>对于下半年经济政策的看法？</w:t>
      </w:r>
    </w:p>
    <w:p>
      <w:r>
        <w:rPr>
          <w:rFonts w:ascii="等线(中文正文)" w:hAnsi="等线(中文正文)" w:cs="等线(中文正文)" w:eastAsia="等线(中文正文)"/>
          <w:b w:val="false"/>
          <w:i w:val="false"/>
          <w:sz w:val="20"/>
        </w:rPr>
        <w:t>发言人1：尽管7月份经济增速下行压力未减，政治局会议已认识到当前挑战，预计后续会加大存量政策的释放力度。然而，政策实际效果的提升仍需观察项目质量和资源约束情况。总体而言，在经济下行压力持续的情况下，政策加码的必要性上升，财政和货币都有进一步发力的可能性。</w:t>
      </w:r>
    </w:p>
    <w:p>
      <w:r>
        <w:rPr>
          <w:rFonts w:ascii="等线(中文正文)" w:hAnsi="等线(中文正文)" w:cs="等线(中文正文)" w:eastAsia="等线(中文正文)"/>
          <w:b w:val="false"/>
          <w:i w:val="false"/>
          <w:sz w:val="20"/>
        </w:rPr>
        <w:t/>
      </w:r>
    </w:p>
    <w:p>
      <w:pPr>
        <w:pStyle w:val="ab"/>
      </w:pPr>
      <w:r>
        <w:t>股市层面的基本面情况及对后市的预期？</w:t>
      </w:r>
    </w:p>
    <w:p>
      <w:r>
        <w:rPr>
          <w:rFonts w:ascii="等线(中文正文)" w:hAnsi="等线(中文正文)" w:cs="等线(中文正文)" w:eastAsia="等线(中文正文)"/>
          <w:b w:val="false"/>
          <w:i w:val="false"/>
          <w:sz w:val="20"/>
        </w:rPr>
        <w:t>发言人1：七月经济数据低于预期，但市场已提前进行定价。政治局会议对经济形势面临的挑战有充分认识，有利于后续政策落实。中报披露期，预计非金融企业盈利增速会明显提升，上游资源品和AI产业有望成为业绩增长的主要动力。在经历市场大跌后，提示可能出现年内二次买点，目前市场已完成筑底并出现加速反弹，初期中小盘股表现领先，AI产业在反弹中的弹性较大。</w:t>
      </w:r>
    </w:p>
    <w:p>
      <w:r>
        <w:rPr>
          <w:rFonts w:ascii="等线(中文正文)" w:hAnsi="等线(中文正文)" w:cs="等线(中文正文)" w:eastAsia="等线(中文正文)"/>
          <w:b w:val="false"/>
          <w:i w:val="false"/>
          <w:sz w:val="20"/>
        </w:rPr>
        <w:t/>
      </w:r>
    </w:p>
    <w:p>
      <w:pPr>
        <w:pStyle w:val="ab"/>
      </w:pPr>
      <w:r>
        <w:t>AI产业链的反弹主要有哪些驱动因素？</w:t>
      </w:r>
    </w:p>
    <w:p>
      <w:r>
        <w:rPr>
          <w:rFonts w:ascii="等线(中文正文)" w:hAnsi="等线(中文正文)" w:cs="等线(中文正文)" w:eastAsia="等线(中文正文)"/>
          <w:b w:val="false"/>
          <w:i w:val="false"/>
          <w:sz w:val="20"/>
        </w:rPr>
        <w:t>发言人1：反弹的驱动因素主要有两个方面。首先，AI产业链前期的一些负面因素正在逐步缓解，例如CDS价差回落，以及云厂商云业务和上游基础设施环节业绩表现强劲。虽然市场对远期AI回报率和资本开支持续性仍存担忧，但目前呈现出强现实与不弱的预期状态。其次，近期美元流动性改善预期增强，美国金融、就业、通胀等数据导致九月加息概率下降，同时国内基本面虽整体较弱，但财政支出可能在下半年加快，K型传统经济边际上有望企稳。</w:t>
      </w:r>
    </w:p>
    <w:p>
      <w:r>
        <w:rPr>
          <w:rFonts w:ascii="等线(中文正文)" w:hAnsi="等线(中文正文)" w:cs="等线(中文正文)" w:eastAsia="等线(中文正文)"/>
          <w:b w:val="false"/>
          <w:i w:val="false"/>
          <w:sz w:val="20"/>
        </w:rPr>
        <w:t/>
      </w:r>
    </w:p>
    <w:p>
      <w:pPr>
        <w:pStyle w:val="ab"/>
      </w:pPr>
      <w:r>
        <w:t>对于AI产业链的投资配置建议是什么？</w:t>
      </w:r>
    </w:p>
    <w:p>
      <w:r>
        <w:rPr>
          <w:rFonts w:ascii="等线(中文正文)" w:hAnsi="等线(中文正文)" w:cs="等线(中文正文)" w:eastAsia="等线(中文正文)"/>
          <w:b w:val="false"/>
          <w:i w:val="false"/>
          <w:sz w:val="20"/>
        </w:rPr>
        <w:t>发言人1：在AI产业链投资上，建议均衡配置，以成长为主。尽管AI硬件最近有所反弹，但全面行情可能难以重现。应避免估值过高且壁垒不高的涨价环节，重点投资具备较强技术壁垒、订单可见度高的龙头公司，以及产能瓶颈短期内难以缓解的环节，如光通信及上游、PCB、国产AI芯片和与AI电力瓶颈相关的环节。此外，随着商业模式成熟，可在上游和下游应用环节进行适度均衡配置。</w:t>
      </w:r>
    </w:p>
    <w:p>
      <w:r>
        <w:rPr>
          <w:rFonts w:ascii="等线(中文正文)" w:hAnsi="等线(中文正文)" w:cs="等线(中文正文)" w:eastAsia="等线(中文正文)"/>
          <w:b w:val="false"/>
          <w:i w:val="false"/>
          <w:sz w:val="20"/>
        </w:rPr>
        <w:t/>
      </w:r>
    </w:p>
    <w:p>
      <w:pPr>
        <w:pStyle w:val="ab"/>
      </w:pPr>
      <w:r>
        <w:t>除了AI产业链外，还有哪些行业值得关注？</w:t>
      </w:r>
    </w:p>
    <w:p>
      <w:r>
        <w:rPr>
          <w:rFonts w:ascii="等线(中文正文)" w:hAnsi="等线(中文正文)" w:cs="等线(中文正文)" w:eastAsia="等线(中文正文)"/>
          <w:b w:val="false"/>
          <w:i w:val="false"/>
          <w:sz w:val="20"/>
        </w:rPr>
        <w:t>发言人1：建议关注几条主线：一是能源转型相关的电池、电网设备及传统能源；二是产能周期改善叠加出海需求增长的创新药、化工行业，以及受益于美元流动性改善的有色金属等景气行业；三是对于传统行业，不建议系统配置，但可关注自由现金流稳定、分红持续性较好的红利标的作为底仓配置，以缓冲成长资产波动。</w:t>
      </w:r>
    </w:p>
    <w:p>
      <w:r>
        <w:rPr>
          <w:rFonts w:ascii="等线(中文正文)" w:hAnsi="等线(中文正文)" w:cs="等线(中文正文)" w:eastAsia="等线(中文正文)"/>
          <w:b w:val="false"/>
          <w:i w:val="false"/>
          <w:sz w:val="20"/>
        </w:rPr>
        <w:t/>
      </w:r>
    </w:p>
    <w:p>
      <w:pPr>
        <w:pStyle w:val="ab"/>
      </w:pPr>
      <w:r>
        <w:t>固收方面的投资观点是什么？</w:t>
      </w:r>
    </w:p>
    <w:p>
      <w:r>
        <w:rPr>
          <w:rFonts w:ascii="等线(中文正文)" w:hAnsi="等线(中文正文)" w:cs="等线(中文正文)" w:eastAsia="等线(中文正文)"/>
          <w:b w:val="false"/>
          <w:i w:val="false"/>
          <w:sz w:val="20"/>
        </w:rPr>
        <w:t>发言人1：根据七月数据，投资整体偏弱，尤其是固定投资同比降幅有所扩大，这有利于债券市场。投资减弱意味着融资需求减弱，对债券市场较为利好。近期长端利率震荡下行，十年国债下挫5-6个BP，主要是由于基本面数据利好及股市波动加大。若传统经济持续偏弱，货币政策放松可能会加快，这对债券市场总体有利好影响。因此，对于债券市场持乐观态度，建议投资者积极配置，并关注30年国债这一关键品种，因其表现较好且可能有进一步压缩利差的空间。</w:t>
      </w:r>
    </w:p>
    <w:p>
      <w:r>
        <w:rPr>
          <w:rFonts w:ascii="等线(中文正文)" w:hAnsi="等线(中文正文)" w:cs="等线(中文正文)" w:eastAsia="等线(中文正文)"/>
          <w:b w:val="false"/>
          <w:i w:val="false"/>
          <w:sz w:val="20"/>
        </w:rPr>
        <w:t/>
      </w:r>
    </w:p>
    <w:p>
      <w:pPr>
        <w:pStyle w:val="ab"/>
      </w:pPr>
      <w:r>
        <w:t>大宗商品的基本面变化情况如何？</w:t>
      </w:r>
    </w:p>
    <w:p>
      <w:r>
        <w:rPr>
          <w:rFonts w:ascii="等线(中文正文)" w:hAnsi="等线(中文正文)" w:cs="等线(中文正文)" w:eastAsia="等线(中文正文)"/>
          <w:b w:val="false"/>
          <w:i w:val="false"/>
          <w:sz w:val="20"/>
        </w:rPr>
        <w:t>发言人1：七月份大宗商品基本面呈现分化态势。能源端需求季节性改善，而黑色工业品相对偏弱，有色中铜基本面较强，铝在高位震荡，农产品供需略有改善但整体仍偏宽松。具体来看，国内原油进口回升，但同比仍偏弱；开工率偏低，产品供给收缩，需求侧有所改善但柴油消费下滑。煤炭方面，因安全趋严导致国内供给收缩，进口增量补充了国内供给，电厂日耗回升支撑了动力煤价格，但库存高位及水电较强对火电耗煤形成挤压。</w:t>
      </w:r>
    </w:p>
    <w:p>
      <w:r>
        <w:rPr>
          <w:rFonts w:ascii="等线(中文正文)" w:hAnsi="等线(中文正文)" w:cs="等线(中文正文)" w:eastAsia="等线(中文正文)"/>
          <w:b w:val="false"/>
          <w:i w:val="false"/>
          <w:sz w:val="20"/>
        </w:rPr>
        <w:t/>
      </w:r>
    </w:p>
    <w:p>
      <w:pPr>
        <w:pStyle w:val="ab"/>
      </w:pPr>
      <w:r>
        <w:t>七月份钢铁行业产量情况如何，与市场预期有何关联？</w:t>
      </w:r>
    </w:p>
    <w:p>
      <w:r>
        <w:rPr>
          <w:rFonts w:ascii="等线(中文正文)" w:hAnsi="等线(中文正文)" w:cs="等线(中文正文)" w:eastAsia="等线(中文正文)"/>
          <w:b w:val="false"/>
          <w:i w:val="false"/>
          <w:sz w:val="20"/>
        </w:rPr>
        <w:t>发言人1：七月份粗钢产量同比下降3.6%，表明市场预期的钢厂减产正在逐步兑现。当前核心矛盾在于淡季需求偏弱和库存压力较高，高温及降雨影响建筑施工进度，钢厂利润受到原料价格上涨和需求疲软的双向压制，出现主动减产现象。同时，钢材出口维持高位，有助于缓解国内需求不足带来的库存压力。</w:t>
      </w:r>
    </w:p>
    <w:p>
      <w:r>
        <w:rPr>
          <w:rFonts w:ascii="等线(中文正文)" w:hAnsi="等线(中文正文)" w:cs="等线(中文正文)" w:eastAsia="等线(中文正文)"/>
          <w:b w:val="false"/>
          <w:i w:val="false"/>
          <w:sz w:val="20"/>
        </w:rPr>
        <w:t/>
      </w:r>
    </w:p>
    <w:p>
      <w:pPr>
        <w:pStyle w:val="ab"/>
      </w:pPr>
      <w:r>
        <w:t>有色行业中的铜市场现状如何？未来有何展望？</w:t>
      </w:r>
    </w:p>
    <w:p>
      <w:r>
        <w:rPr>
          <w:rFonts w:ascii="等线(中文正文)" w:hAnsi="等线(中文正文)" w:cs="等线(中文正文)" w:eastAsia="等线(中文正文)"/>
          <w:b w:val="false"/>
          <w:i w:val="false"/>
          <w:sz w:val="20"/>
        </w:rPr>
        <w:t>发言人1：目前对铜市场持积极态度。七月份国内精炼铜产量同比下降4%，但新兴领域如AI、新能源和高端制造需求保持景气，铜箔采购率高达93%左右。传统电线电缆领域需求受到抑制，整体呈现K型分化趋势。值得注意的是，全球铜结构性短缺持续，库存结构上美瞳库存累积而轮胎库存下降，国内库存处于低位。九月预计矿端供给紧张，新兴需求保持较高景气度，国内传统消费旺季到来，对铜基本面持相对乐观看法。</w:t>
      </w:r>
    </w:p>
    <w:p>
      <w:r>
        <w:rPr>
          <w:rFonts w:ascii="等线(中文正文)" w:hAnsi="等线(中文正文)" w:cs="等线(中文正文)" w:eastAsia="等线(中文正文)"/>
          <w:b w:val="false"/>
          <w:i w:val="false"/>
          <w:sz w:val="20"/>
        </w:rPr>
        <w:t/>
      </w:r>
    </w:p>
    <w:p>
      <w:pPr>
        <w:pStyle w:val="ab"/>
      </w:pPr>
      <w:r>
        <w:t>电解铝行业的情况如何？</w:t>
      </w:r>
    </w:p>
    <w:p>
      <w:r>
        <w:rPr>
          <w:rFonts w:ascii="等线(中文正文)" w:hAnsi="等线(中文正文)" w:cs="等线(中文正文)" w:eastAsia="等线(中文正文)"/>
          <w:b w:val="false"/>
          <w:i w:val="false"/>
          <w:sz w:val="20"/>
        </w:rPr>
        <w:t>发言人1：七月份电解铝产量同比小幅增长，超产压力依然存在，但出口同比增加20%，推动国内库存明显下降。外需发力有效缓解了国内库存压力，但供给侧增量预期逐渐抬头，包括中东产能复产及印尼新增项目投产，铝价可能呈现高位震荡行情。</w:t>
      </w:r>
    </w:p>
    <w:p>
      <w:r>
        <w:rPr>
          <w:rFonts w:ascii="等线(中文正文)" w:hAnsi="等线(中文正文)" w:cs="等线(中文正文)" w:eastAsia="等线(中文正文)"/>
          <w:b w:val="false"/>
          <w:i w:val="false"/>
          <w:sz w:val="20"/>
        </w:rPr>
        <w:t/>
      </w:r>
    </w:p>
    <w:p>
      <w:pPr>
        <w:pStyle w:val="ab"/>
      </w:pPr>
      <w:r>
        <w:t>农产品市场中大豆和生猪的情况怎样？</w:t>
      </w:r>
    </w:p>
    <w:p>
      <w:r>
        <w:rPr>
          <w:rFonts w:ascii="等线(中文正文)" w:hAnsi="等线(中文正文)" w:cs="等线(中文正文)" w:eastAsia="等线(中文正文)"/>
          <w:b w:val="false"/>
          <w:i w:val="false"/>
          <w:sz w:val="20"/>
        </w:rPr>
        <w:t>发言人1：农产品中，美豆价格走强主要是由于中美贸易预期、美国压榨需求以及天气影响。但从供需角度看，全球大豆总体仍较宽松。猪价方面，七月份环比上涨约13%，但同比仍较低，整体供给宽松格局尚未逆转。随着消费旺季到来，前期产能去化效果显现，猪价可能会有小幅改善，但缺乏强劲上涨驱动。</w:t>
      </w:r>
    </w:p>
    <w:p>
      <w:r>
        <w:rPr>
          <w:rFonts w:ascii="等线(中文正文)" w:hAnsi="等线(中文正文)" w:cs="等线(中文正文)" w:eastAsia="等线(中文正文)"/>
          <w:b w:val="false"/>
          <w:i w:val="false"/>
          <w:sz w:val="20"/>
        </w:rPr>
        <w:t/>
      </w:r>
    </w:p>
    <w:p>
      <w:pPr>
        <w:pStyle w:val="ab"/>
      </w:pPr>
      <w:r>
        <w:t>关于银行业七月的社融信贷数据及银行板块观点是什么？</w:t>
      </w:r>
    </w:p>
    <w:p>
      <w:r>
        <w:rPr>
          <w:rFonts w:ascii="等线(中文正文)" w:hAnsi="等线(中文正文)" w:cs="等线(中文正文)" w:eastAsia="等线(中文正文)"/>
          <w:b w:val="false"/>
          <w:i w:val="false"/>
          <w:sz w:val="20"/>
        </w:rPr>
        <w:t>发言人1：七月金融数据显示贷款继续降速提质，存款搬家延续放缓。人民币贷款净减少3400亿，余额增速降至5.1%，政府债支撑社融存量同比增速保持在7.4%。对公信贷结构改善，短期贷款和中长期贷款同比多增，票据融资支撑作用减弱。居民部门融资需求偏弱，存款搬家放缓。银行信贷投放结构优化，资产端反内卷有助于缓解资产收益率下行压力，同时能通过债券融资等方式支撑营收。负债端，存款搬家节奏放缓有助于改善负债成本。预计银行息差企稳回升，基本面保持稳健，中报业绩有望继续改善，板块具有配置价值。</w:t>
      </w:r>
    </w:p>
    <w:p>
      <w:r>
        <w:rPr>
          <w:rFonts w:ascii="等线(中文正文)" w:hAnsi="等线(中文正文)" w:cs="等线(中文正文)" w:eastAsia="等线(中文正文)"/>
          <w:b w:val="false"/>
          <w:i w:val="false"/>
          <w:sz w:val="20"/>
        </w:rPr>
        <w:t/>
      </w:r>
    </w:p>
    <w:p>
      <w:pPr>
        <w:pStyle w:val="ab"/>
      </w:pPr>
      <w:r>
        <w:t>从统计局公布的数据显示，七月新房销售面积同比跌幅情况如何？</w:t>
      </w:r>
    </w:p>
    <w:p>
      <w:r>
        <w:rPr>
          <w:rFonts w:ascii="等线(中文正文)" w:hAnsi="等线(中文正文)" w:cs="等线(中文正文)" w:eastAsia="等线(中文正文)"/>
          <w:b w:val="false"/>
          <w:i w:val="false"/>
          <w:sz w:val="20"/>
        </w:rPr>
        <w:t>发言人1：统计局数据显示，七月新房销售面积同比跌幅与上个月持平，仍在-13%到-14%的水平，但金额同比跌幅有所收窄。高频备案口径的数据表现更好，从六月份同比下跌20%转为7月份同比微增个位数，这在一定程度上受到低基数的影响，但主要还是由于结构上的因素，高频数据偏向头部城市，统计局数据则可能反映较强势的全国整体情况。</w:t>
      </w:r>
    </w:p>
    <w:p>
      <w:r>
        <w:rPr>
          <w:rFonts w:ascii="等线(中文正文)" w:hAnsi="等线(中文正文)" w:cs="等线(中文正文)" w:eastAsia="等线(中文正文)"/>
          <w:b w:val="false"/>
          <w:i w:val="false"/>
          <w:sz w:val="20"/>
        </w:rPr>
        <w:t/>
      </w:r>
    </w:p>
    <w:p>
      <w:pPr>
        <w:pStyle w:val="ab"/>
      </w:pPr>
      <w:r>
        <w:t>二手房市场的情况如何？</w:t>
      </w:r>
    </w:p>
    <w:p>
      <w:r>
        <w:rPr>
          <w:rFonts w:ascii="等线(中文正文)" w:hAnsi="等线(中文正文)" w:cs="等线(中文正文)" w:eastAsia="等线(中文正文)"/>
          <w:b w:val="false"/>
          <w:i w:val="false"/>
          <w:sz w:val="20"/>
        </w:rPr>
        <w:t>发言人1：二手房市场相对稳定。七月份二手房成交面积环比微降5%，同比增幅扩大至高个位数水平。综合来看，整个七月份住房交易量同比微跌低个位数水平，相较于一季度下跌一成，二季度基本持平。</w:t>
      </w:r>
    </w:p>
    <w:p>
      <w:r>
        <w:rPr>
          <w:rFonts w:ascii="等线(中文正文)" w:hAnsi="等线(中文正文)" w:cs="等线(中文正文)" w:eastAsia="等线(中文正文)"/>
          <w:b w:val="false"/>
          <w:i w:val="false"/>
          <w:sz w:val="20"/>
        </w:rPr>
        <w:t/>
      </w:r>
    </w:p>
    <w:p>
      <w:pPr>
        <w:pStyle w:val="ab"/>
      </w:pPr>
      <w:r>
        <w:t>对于目前房地产市场的价格走势有何看法？</w:t>
      </w:r>
    </w:p>
    <w:p>
      <w:r>
        <w:rPr>
          <w:rFonts w:ascii="等线(中文正文)" w:hAnsi="等线(中文正文)" w:cs="等线(中文正文)" w:eastAsia="等线(中文正文)"/>
          <w:b w:val="false"/>
          <w:i w:val="false"/>
          <w:sz w:val="20"/>
        </w:rPr>
        <w:t>发言人1：目前，超高能级城市的二手房挂牌量在下降，带动头部城市价格企稳，中尾部城市价格环比仍有所下跌，但跌幅收窄至约0.6%至0.7%。北京出台的新楼市政策预计会在短期内对当地量价产生积极影响。</w:t>
      </w:r>
    </w:p>
    <w:p>
      <w:r>
        <w:rPr>
          <w:rFonts w:ascii="等线(中文正文)" w:hAnsi="等线(中文正文)" w:cs="等线(中文正文)" w:eastAsia="等线(中文正文)"/>
          <w:b w:val="false"/>
          <w:i w:val="false"/>
          <w:sz w:val="20"/>
        </w:rPr>
        <w:t/>
      </w:r>
    </w:p>
    <w:p>
      <w:pPr>
        <w:pStyle w:val="ab"/>
      </w:pPr>
      <w:r>
        <w:t>房地产投资方面的表现怎样？</w:t>
      </w:r>
    </w:p>
    <w:p>
      <w:r>
        <w:rPr>
          <w:rFonts w:ascii="等线(中文正文)" w:hAnsi="等线(中文正文)" w:cs="等线(中文正文)" w:eastAsia="等线(中文正文)"/>
          <w:b w:val="false"/>
          <w:i w:val="false"/>
          <w:sz w:val="20"/>
        </w:rPr>
        <w:t>发言人1：七月份房地产投资同比跌幅进一步扩大至接近27%，开工、竣工和施工面积同比分别下跌29%、19%和超过10%。此外，土地成交金额同比降幅明显收窄，但成交面积仍然相对偏弱，预示下半年开工表现将持续偏弱。</w:t>
      </w:r>
    </w:p>
    <w:p>
      <w:r>
        <w:rPr>
          <w:rFonts w:ascii="等线(中文正文)" w:hAnsi="等线(中文正文)" w:cs="等线(中文正文)" w:eastAsia="等线(中文正文)"/>
          <w:b w:val="false"/>
          <w:i w:val="false"/>
          <w:sz w:val="20"/>
        </w:rPr>
        <w:t/>
      </w:r>
    </w:p>
    <w:p>
      <w:pPr>
        <w:pStyle w:val="ab"/>
      </w:pPr>
      <w:r>
        <w:t>对于零售板块，尤其是社零数据的变化及其原因是什么？</w:t>
      </w:r>
    </w:p>
    <w:p>
      <w:r>
        <w:rPr>
          <w:rFonts w:ascii="等线(中文正文)" w:hAnsi="等线(中文正文)" w:cs="等线(中文正文)" w:eastAsia="等线(中文正文)"/>
          <w:b w:val="false"/>
          <w:i w:val="false"/>
          <w:sz w:val="20"/>
        </w:rPr>
        <w:t>发言人1：七月份社零同比增长0.6%，增速较6月份回落0.4个百分点，低于彭博一致预期。剔除汽车后，除汽车以外的品类零售额同比增长2.5%，增速环比放缓0.5个百分点。极端天气是影响线下业态销售的主要因素，导致以旧换新品类零售总额同比下滑9.7%，而非以旧换新品类则同比增长2.3%。餐饮服务业表现优于商品消费，必选品类如烟酒、粮油食品等仍保持中个位数正增长，而可选品类如通讯器材、文化办公和化妆品等增速分化，部分品类因极端天气影响线下门店销售而承压。</w:t>
      </w:r>
    </w:p>
    <w:p>
      <w:r>
        <w:rPr>
          <w:rFonts w:ascii="等线(中文正文)" w:hAnsi="等线(中文正文)" w:cs="等线(中文正文)" w:eastAsia="等线(中文正文)"/>
          <w:b w:val="false"/>
          <w:i w:val="false"/>
          <w:sz w:val="20"/>
        </w:rPr>
        <w:t/>
      </w:r>
    </w:p>
    <w:p>
      <w:pPr>
        <w:pStyle w:val="ab"/>
      </w:pPr>
      <w:r>
        <w:t>在美妆板块中，有哪些结构性机会和配置思路？潮玩和零售板块的情况如何？</w:t>
      </w:r>
    </w:p>
    <w:p>
      <w:r>
        <w:rPr>
          <w:rFonts w:ascii="等线(中文正文)" w:hAnsi="等线(中文正文)" w:cs="等线(中文正文)" w:eastAsia="等线(中文正文)"/>
          <w:b w:val="false"/>
          <w:i w:val="false"/>
          <w:sz w:val="20"/>
        </w:rPr>
        <w:t>发言人1：在美妆板块中，我们看到Q2机构持仓已回落至过去五年底部水平，因此每户板块筹码相对充分，后续市场风格再平衡下有望带来可观修复弹性。配置思路上，建议优选个股阿尔法，关注两类公司：一是品牌或核心产品生命周期靠前、基本面成长性突出且估值已回落至低位的高端美妆龙头；二是有望走出底部反转逻辑、估值便宜的公司。传统零售方面面临需求端压力，部分龙头公司在七月份单店日销有所回升，其中标杆大店表现更好。潮玩景气度较高，头部企业在渠道、产品和品牌端优势明显，并持续推进海外市场渗透。随着基数压力释放及季节性因素影响，预计Q3Q4会有环比改善，是合适的入场时机。</w:t>
      </w:r>
    </w:p>
    <w:p>
      <w:r>
        <w:rPr>
          <w:rFonts w:ascii="等线(中文正文)" w:hAnsi="等线(中文正文)" w:cs="等线(中文正文)" w:eastAsia="等线(中文正文)"/>
          <w:b w:val="false"/>
          <w:i w:val="false"/>
          <w:sz w:val="20"/>
        </w:rPr>
        <w:t/>
      </w:r>
    </w:p>
    <w:p>
      <w:pPr>
        <w:pStyle w:val="ab"/>
      </w:pPr>
      <w:r>
        <w:t>轻工板块目前的情况及投资建议是什么？建材板块的基本面和投资建议如何？</w:t>
      </w:r>
    </w:p>
    <w:p>
      <w:r>
        <w:rPr>
          <w:rFonts w:ascii="等线(中文正文)" w:hAnsi="等线(中文正文)" w:cs="等线(中文正文)" w:eastAsia="等线(中文正文)"/>
          <w:b w:val="false"/>
          <w:i w:val="false"/>
          <w:sz w:val="20"/>
        </w:rPr>
        <w:t>发言人1：目前轻工板块处于明显低配状态，资金面悲观预期已充分定价，后续抛压较小，并且市场风格正从成长向价值防御轮动，近期军工板块已现改善迹象。从基本面看，军工板块整体需求偏弱，但存在结构性机会和个股阿尔法机会，尤其是外销方面，中国企业份额提升逻辑未变，部分龙头公司在收入和利润上取得亮眼表现，建议关注。七月份固定资产投资下滑幅度环比扩大，基建、地产和制造业均呈现负增长，项目落地节奏减弱，资金支持层面专项债发行规模同比下滑。其中，交通投资增长轻微，而水电燃热及水利市政投资大幅下滑。下半年增量资金有限，实物需求拉动作用疲软。建筑行业建议关注制造业投资中高端精密制造产业的专业工程类公司触底反弹拐点；看好有出海方向的建筑公司，特别是东南亚和中东非洲区域的龙头；同时，部分大型建筑央企因股息率和分红具备防御性配置价值。</w:t>
      </w:r>
    </w:p>
    <w:p>
      <w:r>
        <w:rPr>
          <w:rFonts w:ascii="等线(中文正文)" w:hAnsi="等线(中文正文)" w:cs="等线(中文正文)" w:eastAsia="等线(中文正文)"/>
          <w:b w:val="false"/>
          <w:i w:val="false"/>
          <w:sz w:val="20"/>
        </w:rPr>
        <w:t/>
      </w:r>
    </w:p>
    <w:p>
      <w:pPr>
        <w:pStyle w:val="ab"/>
      </w:pPr>
      <w:r>
        <w:t>建材板块内部，尤其是水泥和玻璃的需求和盈利状况如何？</w:t>
      </w:r>
    </w:p>
    <w:p>
      <w:r>
        <w:rPr>
          <w:rFonts w:ascii="等线(中文正文)" w:hAnsi="等线(中文正文)" w:cs="等线(中文正文)" w:eastAsia="等线(中文正文)"/>
          <w:b w:val="false"/>
          <w:i w:val="false"/>
          <w:sz w:val="20"/>
        </w:rPr>
        <w:t>发言人1：今年以来，水泥需求疲软，1-7月产量同比双位数下降，且七月份降幅扩大；水泥吨毛利处于底部。玻璃产能供给虽小幅收窄，但盈利状况也在变差。因此，短期优先推荐消费建材板块的龙头，因为二季度受益于提价，三季度毛利率虽有收窄，但业绩稳定性优于水泥和玻璃板块。此外，地产复苏带动重装修需求，因此综合推荐顺序优先关注消费建材板块的龙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2026-08-17T14:28:23Z</dcterms:created>
  <dc:creator>Apache POI</dc:creator>
</cp:coreProperties>
</file>