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政策与大类资产配置周观察 260815_导读</w:t>
      </w:r>
    </w:p>
    <w:p>
      <w:pPr>
        <w:pStyle w:val="a0"/>
        <w:jc w:val="center"/>
      </w:pPr>
      <w:r>
        <w:t>2026年08月17日 10:31</w:t>
      </w:r>
    </w:p>
    <w:p>
      <w:pPr>
        <w:pStyle w:val="a7"/>
      </w:pPr>
      <w:r>
        <w:t>关键词</w:t>
      </w:r>
    </w:p>
    <w:p>
      <w:r>
        <w:rPr>
          <w:rFonts w:ascii="等线(中文正文)" w:hAnsi="等线(中文正文)" w:cs="等线(中文正文)" w:eastAsia="等线(中文正文)"/>
          <w:b w:val="false"/>
          <w:i w:val="false"/>
          <w:sz w:val="20"/>
        </w:rPr>
        <w:t xml:space="preserve">央行 货币政策 发改委 经济工作 港交所 证监会 量化交易 交易所调整 黄金储备 外汇储备 美元指数 人民币升值 黄金期货 南向资金 美国 伊朗 阿曼 经济 军事 外交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2023年1月至8月中旬，市场经历大幅调整，期间各部门密集召开会议，聚焦经济工作部署，包括央行实施适度宽松货币政策、发改委推动经济发展等。同时，气候预测显示可能的强厄尔尼诺事件，对农业和气象产生影响。金融监管、房地产政策、汇率、大宗商品、非农就业数据以及中美经济政策动向成为讨论重点。会议还涉及证监会座谈会、金融监管总局会议，讨论人形机器人企业上市、数字货币发行，以及金融监管政策调整。中美经济数据对比、财政货币政策、全球宏观经济形势成为分析焦点，所有议题共同反映经济、金融和气候领域的动态及其对政策和市场的影响。</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2023下半年经济政策与气候趋势回顾</w:t>
      </w:r>
    </w:p>
    <w:p>
      <w:r>
        <w:rPr>
          <w:rFonts w:ascii="等线(中文正文)" w:hAnsi="等线(中文正文)" w:cs="等线(中文正文)" w:eastAsia="等线(中文正文)"/>
          <w:b w:val="false"/>
          <w:i w:val="false"/>
          <w:sz w:val="20"/>
        </w:rPr>
        <w:t>对话回顾了2023年7月至8月中旬，各部委密集召开会议部署下半年经济工作的情况，强调了央行、发改委等机构对经济目标的坚持和政策实施。同时，提及中国气象局预测的超强厄尔尼诺事件可能带来的暴雨、高温、台风等极端天气，以及对东部、西北和华南地区的影响，提醒需高度重视气候变化带来的挑战。</w:t>
      </w:r>
    </w:p>
    <w:p>
      <w:r>
        <w:rPr>
          <w:rFonts w:ascii="等线(中文正文)" w:hAnsi="等线(中文正文)" w:cs="等线(中文正文)" w:eastAsia="等线(中文正文)"/>
          <w:b w:val="false"/>
          <w:i w:val="false"/>
          <w:sz w:val="20"/>
        </w:rPr>
        <w:t/>
      </w:r>
    </w:p>
    <w:p>
      <w:pPr>
        <w:pStyle w:val="ab"/>
        <w:numPr>
          <w:numId w:val="2"/>
        </w:numPr>
      </w:pPr>
      <w:r>
        <w:t>01:48 八月金融市场与政策动态综览</w:t>
      </w:r>
    </w:p>
    <w:p>
      <w:r>
        <w:rPr>
          <w:rFonts w:ascii="等线(中文正文)" w:hAnsi="等线(中文正文)" w:cs="等线(中文正文)" w:eastAsia="等线(中文正文)"/>
          <w:b w:val="false"/>
          <w:i w:val="false"/>
          <w:sz w:val="20"/>
        </w:rPr>
        <w:t>8月3日，人民币国债期货在保交所挂牌上市，深化两地合作；宇宙科技募资超60亿，深交所行情揭示方式调整；金融监管总局部署20年定点帮扶任务；北京优化房地产政策，稳定市场；发改委规划新型电力系统建设；特朗普重启解雇美联储理事行动；美国7月非农数据不及预期，影响下半年降息概率。</w:t>
      </w:r>
    </w:p>
    <w:p>
      <w:r>
        <w:rPr>
          <w:rFonts w:ascii="等线(中文正文)" w:hAnsi="等线(中文正文)" w:cs="等线(中文正文)" w:eastAsia="等线(中文正文)"/>
          <w:b w:val="false"/>
          <w:i w:val="false"/>
          <w:sz w:val="20"/>
        </w:rPr>
        <w:t/>
      </w:r>
    </w:p>
    <w:p>
      <w:pPr>
        <w:pStyle w:val="ab"/>
        <w:numPr>
          <w:numId w:val="3"/>
        </w:numPr>
      </w:pPr>
      <w:r>
        <w:t>03:42 八月金融市场动态与监管政策更新</w:t>
      </w:r>
    </w:p>
    <w:p>
      <w:r>
        <w:rPr>
          <w:rFonts w:ascii="等线(中文正文)" w:hAnsi="等线(中文正文)" w:cs="等线(中文正文)" w:eastAsia="等线(中文正文)"/>
          <w:b w:val="false"/>
          <w:i w:val="false"/>
          <w:sz w:val="20"/>
        </w:rPr>
        <w:t>八月上旬，中国主要股指呈现不同程度上涨，深证综指涨幅超6%，南向资金净流入88.5亿元。美股方面，纳斯达克、标普500和道琼斯指数分别上涨5.19%、12.96%和3.58%。交易所方面，上交所与深交所计划调整交易线路，强化公平性。固收市场小幅回升，CPI环比下降0.1%，PPI涨幅收窄。原油价格波动，黄金与黑色金属期货价格上行，猪肉价格微降。监管方面，港交所支持境内企业赴港上市，加强两地市场监管合作。</w:t>
      </w:r>
    </w:p>
    <w:p>
      <w:r>
        <w:rPr>
          <w:rFonts w:ascii="等线(中文正文)" w:hAnsi="等线(中文正文)" w:cs="等线(中文正文)" w:eastAsia="等线(中文正文)"/>
          <w:b w:val="false"/>
          <w:i w:val="false"/>
          <w:sz w:val="20"/>
        </w:rPr>
        <w:t/>
      </w:r>
    </w:p>
    <w:p>
      <w:pPr>
        <w:pStyle w:val="ab"/>
        <w:numPr>
          <w:numId w:val="4"/>
        </w:numPr>
      </w:pPr>
      <w:r>
        <w:t>08:10 全国矿山技术装备创新与绿色能源发展动态</w:t>
      </w:r>
    </w:p>
    <w:p>
      <w:r>
        <w:rPr>
          <w:rFonts w:ascii="等线(中文正文)" w:hAnsi="等线(中文正文)" w:cs="等线(中文正文)" w:eastAsia="等线(中文正文)"/>
          <w:b w:val="false"/>
          <w:i w:val="false"/>
          <w:sz w:val="20"/>
        </w:rPr>
        <w:t>第三届邻里企业高站发展大会聚焦矿山绿色开发与固废资源化，探讨绿色化智能化转型路径。发改委规划新型电力系统，目标203年水电、核电及生物质能装机容量显著提升。黄金消费增产减少，央行连续增持黄金。财政部拨款支持农业防灾减灾，助力秋粮增收。外汇市场，人民币升值趋势延续，美元收益环比下降。</w:t>
      </w:r>
    </w:p>
    <w:p>
      <w:r>
        <w:rPr>
          <w:rFonts w:ascii="等线(中文正文)" w:hAnsi="等线(中文正文)" w:cs="等线(中文正文)" w:eastAsia="等线(中文正文)"/>
          <w:b w:val="false"/>
          <w:i w:val="false"/>
          <w:sz w:val="20"/>
        </w:rPr>
        <w:t/>
      </w:r>
    </w:p>
    <w:p>
      <w:pPr>
        <w:pStyle w:val="ab"/>
        <w:numPr>
          <w:numId w:val="5"/>
        </w:numPr>
      </w:pPr>
      <w:r>
        <w:t>10:41 2020年下半年外汇管理工作交流会及全球金融动态概览</w:t>
      </w:r>
    </w:p>
    <w:p>
      <w:r>
        <w:rPr>
          <w:rFonts w:ascii="等线(中文正文)" w:hAnsi="等线(中文正文)" w:cs="等线(中文正文)" w:eastAsia="等线(中文正文)"/>
          <w:b w:val="false"/>
          <w:i w:val="false"/>
          <w:sz w:val="20"/>
        </w:rPr>
        <w:t>会议强调了加强外汇领域监管、扩大制度型开放及提升外汇储备管理水平等要点。七月份外汇储备规模小幅上升，受美元指数下跌影响。黄金储备连续21个月净增，达7608万盎司。特朗普政府试图罢免美联储理事，引发关注。美伊冲突持续，双方通过外交等手段寻求解决方案。预计美联储可能在12月加息，具体取决于非农和物价水平。中国政治局会议后，部委将强化货币政策，应对不确定性和海外政策风险。</w:t>
      </w:r>
    </w:p>
    <w:p>
      <w:r>
        <w:rPr>
          <w:rFonts w:ascii="等线(中文正文)" w:hAnsi="等线(中文正文)" w:cs="等线(中文正文)" w:eastAsia="等线(中文正文)"/>
          <w:b w:val="false"/>
          <w:i w:val="false"/>
          <w:sz w:val="20"/>
        </w:rPr>
        <w:t/>
      </w:r>
    </w:p>
    <w:p>
      <w:pPr>
        <w:pStyle w:val="a7"/>
      </w:pPr>
      <w:r>
        <w:t>发言总结</w:t>
      </w:r>
    </w:p>
    <w:p>
      <w:pPr>
        <w:pStyle w:val="ab"/>
        <w:numPr>
          <w:numId w:val="6"/>
        </w:numPr>
      </w:pPr>
      <w:r>
        <w:t>发言人1</w:t>
      </w:r>
    </w:p>
    <w:p>
      <w:r>
        <w:rPr>
          <w:rFonts w:ascii="等线(中文正文)" w:hAnsi="等线(中文正文)" w:cs="等线(中文正文)" w:eastAsia="等线(中文正文)"/>
          <w:b w:val="false"/>
          <w:i w:val="false"/>
          <w:sz w:val="20"/>
        </w:rPr>
        <w:t>首先回顾了自1月至8月中旬期间，市场和经济环境中的多项重要调整与动态，强调了7月30日政治局会议后，各部委密集部署下半年经济工作的积极信号，重点在于继续实施适度宽松的货币政策及推动经济持续向好发展。他特别提到了气候变化对经济的影响，尤其是厄尔尼诺事件的预测及其带来的自然灾害风险，以及金融市场、外汇储备和黄金储备的变动情况。此外，他还讨论了国内外政策动态，包括美联储的政策调整和中美之间的金融合作，提醒大家注意政策与市场调整的紧密关系，以及对经济发展的潜在影响。最后，他呼吁各方关注经济政策的持续演化，并为未来的不确定性做好准备。</w:t>
      </w:r>
    </w:p>
    <w:p>
      <w:r>
        <w:rPr>
          <w:rFonts w:ascii="等线(中文正文)" w:hAnsi="等线(中文正文)" w:cs="等线(中文正文)" w:eastAsia="等线(中文正文)"/>
          <w:b w:val="false"/>
          <w:i w:val="false"/>
          <w:sz w:val="20"/>
        </w:rPr>
        <w:t/>
      </w:r>
    </w:p>
    <w:p>
      <w:pPr>
        <w:pStyle w:val="a7"/>
      </w:pPr>
      <w:r>
        <w:t>要点回顾</w:t>
      </w:r>
    </w:p>
    <w:p>
      <w:pPr>
        <w:pStyle w:val="ab"/>
      </w:pPr>
      <w:r>
        <w:t>8月上旬经济政策方面有哪些关键会议召开？</w:t>
      </w:r>
    </w:p>
    <w:p>
      <w:r>
        <w:rPr>
          <w:rFonts w:ascii="等线(中文正文)" w:hAnsi="等线(中文正文)" w:cs="等线(中文正文)" w:eastAsia="等线(中文正文)"/>
          <w:b w:val="false"/>
          <w:i w:val="false"/>
          <w:sz w:val="20"/>
        </w:rPr>
        <w:t>发言人1：8月上旬，多个重要部门都召开了下半年经济工作相关会议。央行在8月1日召开上半年工作会议，强调将继续实施适度宽松货币政策，并在8月14日发布了二季度货币政策执行报告。发改委在7月底的一次会议上要求不折不扣贯彻党中央、国务院的各项决策部署，推动经济持续向好发展，确保完成全年预期目标。</w:t>
      </w:r>
    </w:p>
    <w:p>
      <w:r>
        <w:rPr>
          <w:rFonts w:ascii="等线(中文正文)" w:hAnsi="等线(中文正文)" w:cs="等线(中文正文)" w:eastAsia="等线(中文正文)"/>
          <w:b w:val="false"/>
          <w:i w:val="false"/>
          <w:sz w:val="20"/>
        </w:rPr>
        <w:t/>
      </w:r>
    </w:p>
    <w:p>
      <w:pPr>
        <w:pStyle w:val="ab"/>
      </w:pPr>
      <w:r>
        <w:t>今年夏季气候状况如何，特别是厄尼诺事件的情况？</w:t>
      </w:r>
    </w:p>
    <w:p>
      <w:r>
        <w:rPr>
          <w:rFonts w:ascii="等线(中文正文)" w:hAnsi="等线(中文正文)" w:cs="等线(中文正文)" w:eastAsia="等线(中文正文)"/>
          <w:b w:val="false"/>
          <w:i w:val="false"/>
          <w:sz w:val="20"/>
        </w:rPr>
        <w:t>发言人1：今年6月7月2号以后，中东海表温度持续增强，预计将会形成一次东部型强到超厄尼诺事件，该事件强度强、发展快，秋冬季达到峰值，2024年春夏季逐渐衰减结束。8月份，我国东部地区将面临暴雨、高温和台风偏多的情况，部分流域可能出现汛情较重，同时西北地区存在持续干旱风险。</w:t>
      </w:r>
    </w:p>
    <w:p>
      <w:r>
        <w:rPr>
          <w:rFonts w:ascii="等线(中文正文)" w:hAnsi="等线(中文正文)" w:cs="等线(中文正文)" w:eastAsia="等线(中文正文)"/>
          <w:b w:val="false"/>
          <w:i w:val="false"/>
          <w:sz w:val="20"/>
        </w:rPr>
        <w:t/>
      </w:r>
    </w:p>
    <w:p>
      <w:pPr>
        <w:pStyle w:val="ab"/>
      </w:pPr>
      <w:r>
        <w:t>除了央行外，还有哪些政府部门发布了下半年工作计划或相关动态？</w:t>
      </w:r>
    </w:p>
    <w:p>
      <w:r>
        <w:rPr>
          <w:rFonts w:ascii="等线(中文正文)" w:hAnsi="等线(中文正文)" w:cs="等线(中文正文)" w:eastAsia="等线(中文正文)"/>
          <w:b w:val="false"/>
          <w:i w:val="false"/>
          <w:sz w:val="20"/>
        </w:rPr>
        <w:t>发言人1：除央行外，外管局、发改委、工信部、证监会、监管总局等都分别召开了下半年工作会或座谈会，讨论了各自领域的重点工作。此外，8月3号吴兴主席出席了人民币国债期货在保交所挂牌上市仪式，并且一些企业如宇宙科技进行了发行募资，交易所也有关于行情接入方式调整的重要通知。</w:t>
      </w:r>
    </w:p>
    <w:p>
      <w:r>
        <w:rPr>
          <w:rFonts w:ascii="等线(中文正文)" w:hAnsi="等线(中文正文)" w:cs="等线(中文正文)" w:eastAsia="等线(中文正文)"/>
          <w:b w:val="false"/>
          <w:i w:val="false"/>
          <w:sz w:val="20"/>
        </w:rPr>
        <w:t/>
      </w:r>
    </w:p>
    <w:p>
      <w:pPr>
        <w:pStyle w:val="ab"/>
      </w:pPr>
      <w:r>
        <w:t>交易所行情接入方式调整的情况及固收市场表现如何？</w:t>
      </w:r>
    </w:p>
    <w:p>
      <w:r>
        <w:rPr>
          <w:rFonts w:ascii="等线(中文正文)" w:hAnsi="等线(中文正文)" w:cs="等线(中文正文)" w:eastAsia="等线(中文正文)"/>
          <w:b w:val="false"/>
          <w:i w:val="false"/>
          <w:sz w:val="20"/>
        </w:rPr>
        <w:t>发言人1：上交所和深交所将切换交易线路，由局域网线路变更为广域网线路，以规范发展和突出公平性。固收方面，八月以来资金净回笼，债市总体保持温和上涨，CPI和PPI数据也有所披露，显示经济运行平稳。</w:t>
      </w:r>
    </w:p>
    <w:p>
      <w:r>
        <w:rPr>
          <w:rFonts w:ascii="等线(中文正文)" w:hAnsi="等线(中文正文)" w:cs="等线(中文正文)" w:eastAsia="等线(中文正文)"/>
          <w:b w:val="false"/>
          <w:i w:val="false"/>
          <w:sz w:val="20"/>
        </w:rPr>
        <w:t/>
      </w:r>
    </w:p>
    <w:p>
      <w:pPr>
        <w:pStyle w:val="ab"/>
      </w:pPr>
      <w:r>
        <w:t>北京在房地产政策上做了哪些调整？另外，有关超级厄尼诺事件的发展情况如何？</w:t>
      </w:r>
    </w:p>
    <w:p>
      <w:r>
        <w:rPr>
          <w:rFonts w:ascii="等线(中文正文)" w:hAnsi="等线(中文正文)" w:cs="等线(中文正文)" w:eastAsia="等线(中文正文)"/>
          <w:b w:val="false"/>
          <w:i w:val="false"/>
          <w:sz w:val="20"/>
        </w:rPr>
        <w:t>发言人1：北京在房地产政策上优化调整，将非经济交税年限从两年缩减到一年，以更好地满足居民合理住房需求并稳定房地市场。同时，中央气象局宣布超级厄尼诺事件正在形成，整体持续时间接近历史平均长度10到11个月。</w:t>
      </w:r>
    </w:p>
    <w:p>
      <w:r>
        <w:rPr>
          <w:rFonts w:ascii="等线(中文正文)" w:hAnsi="等线(中文正文)" w:cs="等线(中文正文)" w:eastAsia="等线(中文正文)"/>
          <w:b w:val="false"/>
          <w:i w:val="false"/>
          <w:sz w:val="20"/>
        </w:rPr>
        <w:t/>
      </w:r>
    </w:p>
    <w:p>
      <w:pPr>
        <w:pStyle w:val="ab"/>
      </w:pPr>
      <w:r>
        <w:t>新型电力系统建设规划、民用航空发展15规划以及特朗普重启解雇美联储理事的相关进展是什么？</w:t>
      </w:r>
    </w:p>
    <w:p>
      <w:r>
        <w:rPr>
          <w:rFonts w:ascii="等线(中文正文)" w:hAnsi="等线(中文正文)" w:cs="等线(中文正文)" w:eastAsia="等线(中文正文)"/>
          <w:b w:val="false"/>
          <w:i w:val="false"/>
          <w:sz w:val="20"/>
        </w:rPr>
        <w:t>发言人1：发改委发布了新型电力系统建设十五规划，预计到2030年新型电力系统逐步建成，绿色低碳电力供给格局基本形成。同时，民用航空发展15规划出台，旨在提升行业安全水平、服务能力及基础设施，使之率先迈向国际一流。特朗普重启解雇美联储理事的行动，而香港保险收益是否被纳入境外所得征收范围尚待进一步确认，但跨境涉税信息交换机制逐步完善，居民海外金融资产税务透明度在提升。</w:t>
      </w:r>
    </w:p>
    <w:p>
      <w:r>
        <w:rPr>
          <w:rFonts w:ascii="等线(中文正文)" w:hAnsi="等线(中文正文)" w:cs="等线(中文正文)" w:eastAsia="等线(中文正文)"/>
          <w:b w:val="false"/>
          <w:i w:val="false"/>
          <w:sz w:val="20"/>
        </w:rPr>
        <w:t/>
      </w:r>
    </w:p>
    <w:p>
      <w:pPr>
        <w:pStyle w:val="ab"/>
      </w:pPr>
      <w:r>
        <w:t>美国7月份非农就业数据情况及其对下半年降息概率的影响如何？</w:t>
      </w:r>
    </w:p>
    <w:p>
      <w:r>
        <w:rPr>
          <w:rFonts w:ascii="等线(中文正文)" w:hAnsi="等线(中文正文)" w:cs="等线(中文正文)" w:eastAsia="等线(中文正文)"/>
          <w:b w:val="false"/>
          <w:i w:val="false"/>
          <w:sz w:val="20"/>
        </w:rPr>
        <w:t>发言人1：美国7月份非农就业岗位减少2.3万人，失业率为4.1%，低于6月份的4.2%，数据显著低于市场预期的新增8万个。这可能会影响今年下半年的降息概率。尽管7月份受世界杯短期扰动，但具体影响还需观察8月份的数据才能判断。</w:t>
      </w:r>
    </w:p>
    <w:p>
      <w:r>
        <w:rPr>
          <w:rFonts w:ascii="等线(中文正文)" w:hAnsi="等线(中文正文)" w:cs="等线(中文正文)" w:eastAsia="等线(中文正文)"/>
          <w:b w:val="false"/>
          <w:i w:val="false"/>
          <w:sz w:val="20"/>
        </w:rPr>
        <w:t/>
      </w:r>
    </w:p>
    <w:p>
      <w:pPr>
        <w:pStyle w:val="ab"/>
      </w:pPr>
      <w:r>
        <w:t>股市及人形机器人企业上市方面有哪些动态？</w:t>
      </w:r>
    </w:p>
    <w:p>
      <w:r>
        <w:rPr>
          <w:rFonts w:ascii="等线(中文正文)" w:hAnsi="等线(中文正文)" w:cs="等线(中文正文)" w:eastAsia="等线(中文正文)"/>
          <w:b w:val="false"/>
          <w:i w:val="false"/>
          <w:sz w:val="20"/>
        </w:rPr>
        <w:t>发言人1：整体上证综指小幅修复，沪深300涨幅超过2%，深证综指涨幅超过6%。南向资金净流入88.5亿元，各指数均有所上涨。宇宙科技成功发行募资超过60亿元，并将在8月12日正式登陆科创板，有望成为A股的人形机器人第一股。</w:t>
      </w:r>
    </w:p>
    <w:p>
      <w:r>
        <w:rPr>
          <w:rFonts w:ascii="等线(中文正文)" w:hAnsi="等线(中文正文)" w:cs="等线(中文正文)" w:eastAsia="等线(中文正文)"/>
          <w:b w:val="false"/>
          <w:i w:val="false"/>
          <w:sz w:val="20"/>
        </w:rPr>
        <w:t/>
      </w:r>
    </w:p>
    <w:p>
      <w:pPr>
        <w:pStyle w:val="ab"/>
      </w:pPr>
      <w:r>
        <w:t>七月份原油价格涨幅是多少？七月份PMI数量大概在什么范围内？</w:t>
      </w:r>
    </w:p>
    <w:p>
      <w:r>
        <w:rPr>
          <w:rFonts w:ascii="等线(中文正文)" w:hAnsi="等线(中文正文)" w:cs="等线(中文正文)" w:eastAsia="等线(中文正文)"/>
          <w:b w:val="false"/>
          <w:i w:val="false"/>
          <w:sz w:val="20"/>
        </w:rPr>
        <w:t>发言人1：七月份，原油价格涨幅超过30%以上，WTI原油也上涨超过20%。七月份PMI数量大概为44.8至6万以上。</w:t>
      </w:r>
    </w:p>
    <w:p>
      <w:r>
        <w:rPr>
          <w:rFonts w:ascii="等线(中文正文)" w:hAnsi="等线(中文正文)" w:cs="等线(中文正文)" w:eastAsia="等线(中文正文)"/>
          <w:b w:val="false"/>
          <w:i w:val="false"/>
          <w:sz w:val="20"/>
        </w:rPr>
        <w:t/>
      </w:r>
    </w:p>
    <w:p>
      <w:pPr>
        <w:pStyle w:val="ab"/>
      </w:pPr>
      <w:r>
        <w:t>上周黑色金属价格情况怎样？</w:t>
      </w:r>
    </w:p>
    <w:p>
      <w:r>
        <w:rPr>
          <w:rFonts w:ascii="等线(中文正文)" w:hAnsi="等线(中文正文)" w:cs="等线(中文正文)" w:eastAsia="等线(中文正文)"/>
          <w:b w:val="false"/>
          <w:i w:val="false"/>
          <w:sz w:val="20"/>
        </w:rPr>
        <w:t>发言人1：上周黑色金属价格持续上行，龙钢现货价格小幅上行至3110元，而龙钢期货价格则有所下降。</w:t>
      </w:r>
    </w:p>
    <w:p>
      <w:r>
        <w:rPr>
          <w:rFonts w:ascii="等线(中文正文)" w:hAnsi="等线(中文正文)" w:cs="等线(中文正文)" w:eastAsia="等线(中文正文)"/>
          <w:b w:val="false"/>
          <w:i w:val="false"/>
          <w:sz w:val="20"/>
        </w:rPr>
        <w:t/>
      </w:r>
    </w:p>
    <w:p>
      <w:pPr>
        <w:pStyle w:val="ab"/>
      </w:pPr>
      <w:r>
        <w:t>关于第三届邻里企业高站发展大会及全国矿山采选冶技术装备创新大会的内容是什么？</w:t>
      </w:r>
    </w:p>
    <w:p>
      <w:r>
        <w:rPr>
          <w:rFonts w:ascii="等线(中文正文)" w:hAnsi="等线(中文正文)" w:cs="等线(中文正文)" w:eastAsia="等线(中文正文)"/>
          <w:b w:val="false"/>
          <w:i w:val="false"/>
          <w:sz w:val="20"/>
        </w:rPr>
        <w:t>发言人1：大会围绕绿色开发、矿山采选技术装备更新以及固废资源化利用展开深入交流，探索行业绿色化、智能化、集约化转型新路径，并发布了新型电力系统建设规划。</w:t>
      </w:r>
    </w:p>
    <w:p>
      <w:r>
        <w:rPr>
          <w:rFonts w:ascii="等线(中文正文)" w:hAnsi="等线(中文正文)" w:cs="等线(中文正文)" w:eastAsia="等线(中文正文)"/>
          <w:b w:val="false"/>
          <w:i w:val="false"/>
          <w:sz w:val="20"/>
        </w:rPr>
        <w:t/>
      </w:r>
    </w:p>
    <w:p>
      <w:pPr>
        <w:pStyle w:val="ab"/>
      </w:pPr>
      <w:r>
        <w:t>农业防灾减灾水利救灾资金分配情况是什么？</w:t>
      </w:r>
    </w:p>
    <w:p>
      <w:r>
        <w:rPr>
          <w:rFonts w:ascii="等线(中文正文)" w:hAnsi="等线(中文正文)" w:cs="等线(中文正文)" w:eastAsia="等线(中文正文)"/>
          <w:b w:val="false"/>
          <w:i w:val="false"/>
          <w:sz w:val="20"/>
        </w:rPr>
        <w:t>发言人1：财政部下达农业防灾减灾水利救灾资金21.54亿元，用于支持各地水利工程修复、绝收地块改种补种、畜牧渔业补栏补苗等工作。</w:t>
      </w:r>
    </w:p>
    <w:p>
      <w:r>
        <w:rPr>
          <w:rFonts w:ascii="等线(中文正文)" w:hAnsi="等线(中文正文)" w:cs="等线(中文正文)" w:eastAsia="等线(中文正文)"/>
          <w:b w:val="false"/>
          <w:i w:val="false"/>
          <w:sz w:val="20"/>
        </w:rPr>
        <w:t/>
      </w:r>
    </w:p>
    <w:p>
      <w:pPr>
        <w:pStyle w:val="ab"/>
      </w:pPr>
      <w:r>
        <w:t>7月份外汇储备规模变化情况如何？</w:t>
      </w:r>
    </w:p>
    <w:p>
      <w:r>
        <w:rPr>
          <w:rFonts w:ascii="等线(中文正文)" w:hAnsi="等线(中文正文)" w:cs="等线(中文正文)" w:eastAsia="等线(中文正文)"/>
          <w:b w:val="false"/>
          <w:i w:val="false"/>
          <w:sz w:val="20"/>
        </w:rPr>
        <w:t>发言人1：七月份外汇储备规模有所反弹，达到3.4188亿美元，主要受美元指数下跌和汇率折算的影响。</w:t>
      </w:r>
    </w:p>
    <w:p>
      <w:r>
        <w:rPr>
          <w:rFonts w:ascii="等线(中文正文)" w:hAnsi="等线(中文正文)" w:cs="等线(中文正文)" w:eastAsia="等线(中文正文)"/>
          <w:b w:val="false"/>
          <w:i w:val="false"/>
          <w:sz w:val="20"/>
        </w:rPr>
        <w:t/>
      </w:r>
    </w:p>
    <w:p>
      <w:pPr>
        <w:pStyle w:val="ab"/>
      </w:pPr>
      <w:r>
        <w:t>关于特朗普政府罢免美联储理事利卡库克的相关动态是什么？</w:t>
      </w:r>
    </w:p>
    <w:p>
      <w:r>
        <w:rPr>
          <w:rFonts w:ascii="等线(中文正文)" w:hAnsi="等线(中文正文)" w:cs="等线(中文正文)" w:eastAsia="等线(中文正文)"/>
          <w:b w:val="false"/>
          <w:i w:val="false"/>
          <w:sz w:val="20"/>
        </w:rPr>
        <w:t>发言人1：特朗普政府再次启动罢免美联储理事利卡库克的程序，但六月份美国最高法院裁定利卡库克可在诉讼前继续留任。</w:t>
      </w:r>
    </w:p>
    <w:p>
      <w:r>
        <w:rPr>
          <w:rFonts w:ascii="等线(中文正文)" w:hAnsi="等线(中文正文)" w:cs="等线(中文正文)" w:eastAsia="等线(中文正文)"/>
          <w:b w:val="false"/>
          <w:i w:val="false"/>
          <w:sz w:val="20"/>
        </w:rPr>
        <w:t/>
      </w:r>
    </w:p>
    <w:p>
      <w:pPr>
        <w:pStyle w:val="ab"/>
      </w:pPr>
      <w:r>
        <w:t>美伊冲突的最新进展如何？</w:t>
      </w:r>
    </w:p>
    <w:p>
      <w:r>
        <w:rPr>
          <w:rFonts w:ascii="等线(中文正文)" w:hAnsi="等线(中文正文)" w:cs="等线(中文正文)" w:eastAsia="等线(中文正文)"/>
          <w:b w:val="false"/>
          <w:i w:val="false"/>
          <w:sz w:val="20"/>
        </w:rPr>
        <w:t>发言人1：美伊冲突仍在持续，美国正通过外交、经济和军事手段确保良好结果，同时伊朗与阿曼接近达成协议，但海峡开放条件尚未明确。</w:t>
      </w:r>
    </w:p>
    <w:p>
      <w:r>
        <w:rPr>
          <w:rFonts w:ascii="等线(中文正文)" w:hAnsi="等线(中文正文)" w:cs="等线(中文正文)" w:eastAsia="等线(中文正文)"/>
          <w:b w:val="false"/>
          <w:i w:val="false"/>
          <w:sz w:val="20"/>
        </w:rPr>
        <w:t/>
      </w:r>
    </w:p>
    <w:p>
      <w:pPr>
        <w:pStyle w:val="ab"/>
      </w:pPr>
      <w:r>
        <w:t>对于今年内美联储加息概率有何预测？</w:t>
      </w:r>
    </w:p>
    <w:p>
      <w:r>
        <w:rPr>
          <w:rFonts w:ascii="等线(中文正文)" w:hAnsi="等线(中文正文)" w:cs="等线(中文正文)" w:eastAsia="等线(中文正文)"/>
          <w:b w:val="false"/>
          <w:i w:val="false"/>
          <w:sz w:val="20"/>
        </w:rPr>
        <w:t>发言人1：预计今年大概率会在12月份加息一次，具体决定还需看8、9月份的非农就业和物价水平。</w:t>
      </w:r>
    </w:p>
    <w:p>
      <w:r>
        <w:rPr>
          <w:rFonts w:ascii="等线(中文正文)" w:hAnsi="等线(中文正文)" w:cs="等线(中文正文)" w:eastAsia="等线(中文正文)"/>
          <w:b w:val="false"/>
          <w:i w:val="false"/>
          <w:sz w:val="20"/>
        </w:rPr>
        <w:t/>
      </w:r>
    </w:p>
    <w:p>
      <w:pPr>
        <w:pStyle w:val="ab"/>
      </w:pPr>
      <w:r>
        <w:t>对于下半年货币政策空间有何看法？香港金融市场的相关合作政策有哪些？</w:t>
      </w:r>
    </w:p>
    <w:p>
      <w:r>
        <w:rPr>
          <w:rFonts w:ascii="等线(中文正文)" w:hAnsi="等线(中文正文)" w:cs="等线(中文正文)" w:eastAsia="等线(中文正文)"/>
          <w:b w:val="false"/>
          <w:i w:val="false"/>
          <w:sz w:val="20"/>
        </w:rPr>
        <w:t>发言人1：下半年货币政策空间不是再度有所打开，五年期相关讨论暂无明确结论。将支持符合条件的境内企业赴港上市融资，加强两地指数公司合作，推出更多人民币计价的期货品种，并支持两地机构推出基于两地市场的金融产品。同时，香港证监会推出三大举措以加强市场监管协同及全球金融治理参与。</w:t>
      </w:r>
    </w:p>
    <w:p>
      <w:r>
        <w:rPr>
          <w:rFonts w:ascii="等线(中文正文)" w:hAnsi="等线(中文正文)" w:cs="等线(中文正文)" w:eastAsia="等线(中文正文)"/>
          <w:b w:val="false"/>
          <w:i w:val="false"/>
          <w:sz w:val="20"/>
        </w:rPr>
        <w:t/>
      </w:r>
    </w:p>
    <w:p>
      <w:pPr>
        <w:pStyle w:val="ab"/>
      </w:pPr>
      <w:r>
        <w:t>8月以来大宗商品南方互动指数表现如何？8月7日原油价格情况如何？</w:t>
      </w:r>
    </w:p>
    <w:p>
      <w:r>
        <w:rPr>
          <w:rFonts w:ascii="等线(中文正文)" w:hAnsi="等线(中文正文)" w:cs="等线(中文正文)" w:eastAsia="等线(中文正文)"/>
          <w:b w:val="false"/>
          <w:i w:val="false"/>
          <w:sz w:val="20"/>
        </w:rPr>
        <w:t>发言人1：8月以来南方互动指数收于8904.3，环比上行2.8%。8月7日原油价格收益为78.18，环比下降7.67。</w:t>
      </w:r>
    </w:p>
    <w:p>
      <w:r>
        <w:rPr>
          <w:rFonts w:ascii="等线(中文正文)" w:hAnsi="等线(中文正文)" w:cs="等线(中文正文)" w:eastAsia="等线(中文正文)"/>
          <w:b w:val="false"/>
          <w:i w:val="false"/>
          <w:sz w:val="20"/>
        </w:rPr>
        <w:t/>
      </w:r>
    </w:p>
    <w:p>
      <w:pPr>
        <w:pStyle w:val="ab"/>
      </w:pPr>
      <w:r>
        <w:t>上半年我国黄金消费同比增长情况如何？</w:t>
      </w:r>
    </w:p>
    <w:p>
      <w:r>
        <w:rPr>
          <w:rFonts w:ascii="等线(中文正文)" w:hAnsi="等线(中文正文)" w:cs="等线(中文正文)" w:eastAsia="等线(中文正文)"/>
          <w:b w:val="false"/>
          <w:i w:val="false"/>
          <w:sz w:val="20"/>
        </w:rPr>
        <w:t>发言人1：上半年我国黄金消费同比增长减少，中国黄金协会数据显示同比减少26.175吨。</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2026-08-17T02:34:31Z</dcterms:created>
  <dc:creator>Apache POI</dc:creator>
</cp:coreProperties>
</file>