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长城食品饮料&amp;中小市值 刘鹏：8月食饮和中小市值机会汇报 260816_导读</w:t>
      </w:r>
    </w:p>
    <w:p>
      <w:pPr>
        <w:pStyle w:val="a0"/>
        <w:jc w:val="center"/>
      </w:pPr>
      <w:r>
        <w:t>2026年08月17日 00:26</w:t>
      </w:r>
    </w:p>
    <w:p>
      <w:pPr>
        <w:pStyle w:val="a7"/>
      </w:pPr>
      <w:r>
        <w:t>关键词</w:t>
      </w:r>
    </w:p>
    <w:p>
      <w:r>
        <w:rPr>
          <w:rFonts w:ascii="等线(中文正文)" w:hAnsi="等线(中文正文)" w:cs="等线(中文正文)" w:eastAsia="等线(中文正文)"/>
          <w:b w:val="false"/>
          <w:i w:val="false"/>
          <w:sz w:val="20"/>
        </w:rPr>
        <w:t xml:space="preserve">茅台 现金流 白酒 消费 估值 华润 弹性 创新 老产品 新产品 长期主义 国有资本 金水源 古井贡 汾酒 老窖 洋河 港股市场 逆势投入 C5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讨论着重强调了行业分析框架的重要性，有效利用研究资源，并通过茅台发布的半年报展示了市场当前状态。房地产政策影响居民财产和行业动态，消费拉动需要多方面努力，存量财富提升与商业活动恢复成为关键。AI和外贸行业被看好，茅台作为现金流良好、微增的核心产品，展现了未来潜力。同时，也关注了卫龙等公司面临的新产品开发挑战，强调投资中盘公司，如中药、食品、调味品和牛奶行业，探讨估值与机会。国企改革、投资策略、消费品市场变化及长期主义投资观念被提及。看好如茅台、华润等个股，关注市场扩张和创新带来的机遇。讨论者对中国市场持乐观态度，尽管面临短期挑战，长期发展空间巨大，鼓励投资者保持耐心，持续关注行业动态和投资机会。</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茅台半年报分析与白酒行业投资策略</w:t>
      </w:r>
    </w:p>
    <w:p>
      <w:r>
        <w:rPr>
          <w:rFonts w:ascii="等线(中文正文)" w:hAnsi="等线(中文正文)" w:cs="等线(中文正文)" w:eastAsia="等线(中文正文)"/>
          <w:b w:val="false"/>
          <w:i w:val="false"/>
          <w:sz w:val="20"/>
        </w:rPr>
        <w:t>对话强调了茅台半年报的亮点，包括健康的现金流和通过I茅台平台销售的增长，预测红利将持续至明年年底。讨论了白酒行业，特别是茅台的投资价值，认为其核心产品和渠道稳健，是当前阶段投资白酒的优选之一。同时，提到了房地产政策和消费拉动的系统工程，以及AI和外贸行业的发展对经济的贡献。</w:t>
      </w:r>
    </w:p>
    <w:p>
      <w:r>
        <w:rPr>
          <w:rFonts w:ascii="等线(中文正文)" w:hAnsi="等线(中文正文)" w:cs="等线(中文正文)" w:eastAsia="等线(中文正文)"/>
          <w:b w:val="false"/>
          <w:i w:val="false"/>
          <w:sz w:val="20"/>
        </w:rPr>
        <w:t/>
      </w:r>
    </w:p>
    <w:p>
      <w:pPr>
        <w:pStyle w:val="ab"/>
        <w:numPr>
          <w:numId w:val="2"/>
        </w:numPr>
      </w:pPr>
      <w:r>
        <w:t>03:11 食品行业增长困境与中盘公司投资策略</w:t>
      </w:r>
    </w:p>
    <w:p>
      <w:r>
        <w:rPr>
          <w:rFonts w:ascii="等线(中文正文)" w:hAnsi="等线(中文正文)" w:cs="等线(中文正文)" w:eastAsia="等线(中文正文)"/>
          <w:b w:val="false"/>
          <w:i w:val="false"/>
          <w:sz w:val="20"/>
        </w:rPr>
        <w:t>对话讨论了食品行业普遍面临的增长难题，尤其是老产品的老化问题。分析了中盘公司，如中药、食品、调味品等行业，因其基数较小且有改革意愿，具备估值扩张潜力。强调了创新、管理、人才和激励机制的重要性，并指出中国市场的广阔空间为全国扩张提供了逻辑基础。最后，提出了评估公司时关注的四大要素：变化、估值、筹码流动性和现金流情况，以及市场稳定性和赚钱效应对于投资的重要性。</w:t>
      </w:r>
    </w:p>
    <w:p>
      <w:r>
        <w:rPr>
          <w:rFonts w:ascii="等线(中文正文)" w:hAnsi="等线(中文正文)" w:cs="等线(中文正文)" w:eastAsia="等线(中文正文)"/>
          <w:b w:val="false"/>
          <w:i w:val="false"/>
          <w:sz w:val="20"/>
        </w:rPr>
        <w:t/>
      </w:r>
    </w:p>
    <w:p>
      <w:pPr>
        <w:pStyle w:val="ab"/>
        <w:numPr>
          <w:numId w:val="3"/>
        </w:numPr>
      </w:pPr>
      <w:r>
        <w:t>06:56 国有资本投资与食品消费行业分析</w:t>
      </w:r>
    </w:p>
    <w:p>
      <w:r>
        <w:rPr>
          <w:rFonts w:ascii="等线(中文正文)" w:hAnsi="等线(中文正文)" w:cs="等线(中文正文)" w:eastAsia="等线(中文正文)"/>
          <w:b w:val="false"/>
          <w:i w:val="false"/>
          <w:sz w:val="20"/>
        </w:rPr>
        <w:t>讨论了国有资本投资体系在十四五期间的重要性，特别是华润等央企更换董事长对市场的影响。分析了食品消费行业，尤其是白酒板块的现状与未来，指出部分公司如金水源、古井贡因基数较低而具有增长潜力，同时强调了行业分化趋势及优质公司逆势投入的价值。</w:t>
      </w:r>
    </w:p>
    <w:p>
      <w:r>
        <w:rPr>
          <w:rFonts w:ascii="等线(中文正文)" w:hAnsi="等线(中文正文)" w:cs="等线(中文正文)" w:eastAsia="等线(中文正文)"/>
          <w:b w:val="false"/>
          <w:i w:val="false"/>
          <w:sz w:val="20"/>
        </w:rPr>
        <w:t/>
      </w:r>
    </w:p>
    <w:p>
      <w:pPr>
        <w:pStyle w:val="ab"/>
        <w:numPr>
          <w:numId w:val="4"/>
        </w:numPr>
      </w:pPr>
      <w:r>
        <w:t>11:11 白酒与调味品行业趋势及并购机会探讨</w:t>
      </w:r>
    </w:p>
    <w:p>
      <w:r>
        <w:rPr>
          <w:rFonts w:ascii="等线(中文正文)" w:hAnsi="等线(中文正文)" w:cs="等线(中文正文)" w:eastAsia="等线(中文正文)"/>
          <w:b w:val="false"/>
          <w:i w:val="false"/>
          <w:sz w:val="20"/>
        </w:rPr>
        <w:t>对话围绕白酒和调味品行业的市场趋势、并购机会及供应链优化展开，强调全国化布局、高质量增长和供应链深度开发的重要性，同时指出行业面临的挑战，如代际交接和消费变化，以及对并购策略的重新评估。</w:t>
      </w:r>
    </w:p>
    <w:p>
      <w:r>
        <w:rPr>
          <w:rFonts w:ascii="等线(中文正文)" w:hAnsi="等线(中文正文)" w:cs="等线(中文正文)" w:eastAsia="等线(中文正文)"/>
          <w:b w:val="false"/>
          <w:i w:val="false"/>
          <w:sz w:val="20"/>
        </w:rPr>
        <w:t/>
      </w:r>
    </w:p>
    <w:p>
      <w:pPr>
        <w:pStyle w:val="ab"/>
        <w:numPr>
          <w:numId w:val="5"/>
        </w:numPr>
      </w:pPr>
      <w:r>
        <w:t>15:20 食品行业投资分析与未来趋势探讨</w:t>
      </w:r>
    </w:p>
    <w:p>
      <w:r>
        <w:rPr>
          <w:rFonts w:ascii="等线(中文正文)" w:hAnsi="等线(中文正文)" w:cs="等线(中文正文)" w:eastAsia="等线(中文正文)"/>
          <w:b w:val="false"/>
          <w:i w:val="false"/>
          <w:sz w:val="20"/>
        </w:rPr>
        <w:t>对话深入分析了食品行业，尤其是西餐连锁和乳制品领域的投资价值。提到二线西餐公司供应链服务的潜在增长，以及伊利、蒙牛、妙可等乳企在差异化战略下的发展。强调了行业竞争加剧背景下，通过产品创新和市场定位获取竞争优势的重要性，预测未来利润率提升和投资回报的可行性。</w:t>
      </w:r>
    </w:p>
    <w:p>
      <w:r>
        <w:rPr>
          <w:rFonts w:ascii="等线(中文正文)" w:hAnsi="等线(中文正文)" w:cs="等线(中文正文)" w:eastAsia="等线(中文正文)"/>
          <w:b w:val="false"/>
          <w:i w:val="false"/>
          <w:sz w:val="20"/>
        </w:rPr>
        <w:t/>
      </w:r>
    </w:p>
    <w:p>
      <w:pPr>
        <w:pStyle w:val="ab"/>
        <w:numPr>
          <w:numId w:val="6"/>
        </w:numPr>
      </w:pPr>
      <w:r>
        <w:t>18:14 品牌中药与休闲食品行业发展趋势分析</w:t>
      </w:r>
    </w:p>
    <w:p>
      <w:r>
        <w:rPr>
          <w:rFonts w:ascii="等线(中文正文)" w:hAnsi="等线(中文正文)" w:cs="等线(中文正文)" w:eastAsia="等线(中文正文)"/>
          <w:b w:val="false"/>
          <w:i w:val="false"/>
          <w:sz w:val="20"/>
        </w:rPr>
        <w:t>讨论了品牌中药行业的发展，强调了老产品改造、新产品开发及渠道管理的重要性，并看好高端中药与白酒相关性高的公司。对于休闲食品行业，分析了其商业模式和市场分散化趋势，指出新产品的创新难度大，但成功的公司如农夫山泉、东鹏等值得重视。同时，提到了智能工厂升级和海外食品创意科技的应用，认为这是未来发展方向。</w:t>
      </w:r>
    </w:p>
    <w:p>
      <w:r>
        <w:rPr>
          <w:rFonts w:ascii="等线(中文正文)" w:hAnsi="等线(中文正文)" w:cs="等线(中文正文)" w:eastAsia="等线(中文正文)"/>
          <w:b w:val="false"/>
          <w:i w:val="false"/>
          <w:sz w:val="20"/>
        </w:rPr>
        <w:t/>
      </w:r>
    </w:p>
    <w:p>
      <w:pPr>
        <w:pStyle w:val="ab"/>
        <w:numPr>
          <w:numId w:val="7"/>
        </w:numPr>
      </w:pPr>
      <w:r>
        <w:t>22:27 食品饮料行业转型与AI赋能趋势</w:t>
      </w:r>
    </w:p>
    <w:p>
      <w:r>
        <w:rPr>
          <w:rFonts w:ascii="等线(中文正文)" w:hAnsi="等线(中文正文)" w:cs="等线(中文正文)" w:eastAsia="等线(中文正文)"/>
          <w:b w:val="false"/>
          <w:i w:val="false"/>
          <w:sz w:val="20"/>
        </w:rPr>
        <w:t>讨论了食品饮料行业通过AI实现个性化零食和饮料推荐的可能性，以及行业当前面临的挑战与机遇。强调了在行业转型过程中，企业需拥抱AI技术，解决内部管理与外部市场问题，同时投资者应保持耐心，关注行业变革带来的新机会。提到了蓝莓行业旺季将至，部分标的估值低且股息率高，值得关注。</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首先重申了整个行业的发展框架，并聚焦于个股和子行业机会，旨在更有效地分配研究资源。通过分析茅台等公司的业绩报告，他展示了当前行业的状态，并深入讨论了房地产政策、消费拉动等宏观经济因素对行业的影响。特别地，他对白酒、食品、调味品等子行业进行了现状与未来趋势的分析，强调了中盘公司和具有成长潜力的企业的重要性。
此外，他还探讨了消费领域的创新、并购活动以及国有资本在消费行业中的作用，为投资者描绘了一幅复杂但充满机遇的行业图景。尽管存在挑战，他鼓励投资者保持信心，指出在能够实现全国扩张、拥有稳定现金流和良好管理能力的公司中，仍有许多优秀投资机会。
最后，他建议投资者关注特定公司的投资机会，并强调了耐心和战略投资的重要性，为投资者提供了实用的投资策略和视角。</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问：今天的内容主要会涵盖哪些方面？</w:t>
      </w:r>
    </w:p>
    <w:p>
      <w:r>
        <w:rPr>
          <w:rFonts w:ascii="等线(中文正文)" w:hAnsi="等线(中文正文)" w:cs="等线(中文正文)" w:eastAsia="等线(中文正文)"/>
          <w:b w:val="false"/>
          <w:i w:val="false"/>
          <w:sz w:val="20"/>
        </w:rPr>
        <w:t>发言人1 答：今天的内容将首先强调整个投资框架，并分享一些具有潜力的个股和子行业，以便大家能够有针对性地关注，并在合规范围内及时了解研究资源更新。</w:t>
      </w:r>
    </w:p>
    <w:p>
      <w:r>
        <w:rPr>
          <w:rFonts w:ascii="等线(中文正文)" w:hAnsi="等线(中文正文)" w:cs="等线(中文正文)" w:eastAsia="等线(中文正文)"/>
          <w:b w:val="false"/>
          <w:i w:val="false"/>
          <w:sz w:val="20"/>
        </w:rPr>
        <w:t/>
      </w:r>
    </w:p>
    <w:p>
      <w:pPr>
        <w:pStyle w:val="ab"/>
      </w:pPr>
      <w:r>
        <w:t>发言人1 问：目前整体的市场思路是什么？</w:t>
      </w:r>
    </w:p>
    <w:p>
      <w:r>
        <w:rPr>
          <w:rFonts w:ascii="等线(中文正文)" w:hAnsi="等线(中文正文)" w:cs="等线(中文正文)" w:eastAsia="等线(中文正文)"/>
          <w:b w:val="false"/>
          <w:i w:val="false"/>
          <w:sz w:val="20"/>
        </w:rPr>
        <w:t>发言人1 答：目前市场整体思路是基于茅台发布的半年报进行分析，可以看出监管层对居民财产和房地产行业的重视，以及拉动消费作为系统工程的背景。核心要点包括存量财富能否提升、商业活动恢复情况，特别是外贸和AI等行业的发展，还有培养新的消费群体和提升消费能力的过程。</w:t>
      </w:r>
    </w:p>
    <w:p>
      <w:r>
        <w:rPr>
          <w:rFonts w:ascii="等线(中文正文)" w:hAnsi="等线(中文正文)" w:cs="等线(中文正文)" w:eastAsia="等线(中文正文)"/>
          <w:b w:val="false"/>
          <w:i w:val="false"/>
          <w:sz w:val="20"/>
        </w:rPr>
        <w:t/>
      </w:r>
    </w:p>
    <w:p>
      <w:pPr>
        <w:pStyle w:val="ab"/>
      </w:pPr>
      <w:r>
        <w:t>发言人1 问：对于茅台的情况有何看法？</w:t>
      </w:r>
    </w:p>
    <w:p>
      <w:r>
        <w:rPr>
          <w:rFonts w:ascii="等线(中文正文)" w:hAnsi="等线(中文正文)" w:cs="等线(中文正文)" w:eastAsia="等线(中文正文)"/>
          <w:b w:val="false"/>
          <w:i w:val="false"/>
          <w:sz w:val="20"/>
        </w:rPr>
        <w:t>发言人1 答：茅台的现金流状况良好，核心产品茅台酒实现微增，通过I茅台销售平台表现不俗。预计红利效应将持续到明年年底，大概两年的时间。茅台整体估值和体系仍在，但弹性可能不如之前，但仍是一个值得中长期关注的核心投资选择。</w:t>
      </w:r>
    </w:p>
    <w:p>
      <w:r>
        <w:rPr>
          <w:rFonts w:ascii="等线(中文正文)" w:hAnsi="等线(中文正文)" w:cs="等线(中文正文)" w:eastAsia="等线(中文正文)"/>
          <w:b w:val="false"/>
          <w:i w:val="false"/>
          <w:sz w:val="20"/>
        </w:rPr>
        <w:t/>
      </w:r>
    </w:p>
    <w:p>
      <w:pPr>
        <w:pStyle w:val="ab"/>
      </w:pPr>
      <w:r>
        <w:t>发言人1 问：卫龙等公司的报表增速较低意味着什么？</w:t>
      </w:r>
    </w:p>
    <w:p>
      <w:r>
        <w:rPr>
          <w:rFonts w:ascii="等线(中文正文)" w:hAnsi="等线(中文正文)" w:cs="等线(中文正文)" w:eastAsia="等线(中文正文)"/>
          <w:b w:val="false"/>
          <w:i w:val="false"/>
          <w:sz w:val="20"/>
        </w:rPr>
        <w:t>发言人1 答：卫龙等公司的报表增速放缓表明仅靠新产品无法维持老产品的增长，食品公司普遍面临老产品老化的问题，除非有意愿进行改革并有新的想法。因此，目前更关注一些中盘消费子行业的公司，如中药、食品调味品、牛奶等行业中的中盘股。</w:t>
      </w:r>
    </w:p>
    <w:p>
      <w:r>
        <w:rPr>
          <w:rFonts w:ascii="等线(中文正文)" w:hAnsi="等线(中文正文)" w:cs="等线(中文正文)" w:eastAsia="等线(中文正文)"/>
          <w:b w:val="false"/>
          <w:i w:val="false"/>
          <w:sz w:val="20"/>
        </w:rPr>
        <w:t/>
      </w:r>
    </w:p>
    <w:p>
      <w:pPr>
        <w:pStyle w:val="ab"/>
      </w:pPr>
      <w:r>
        <w:t>发言人1 问：对于一些成长性强、创新力好的公司如何看待？</w:t>
      </w:r>
    </w:p>
    <w:p>
      <w:r>
        <w:rPr>
          <w:rFonts w:ascii="等线(中文正文)" w:hAnsi="等线(中文正文)" w:cs="等线(中文正文)" w:eastAsia="等线(中文正文)"/>
          <w:b w:val="false"/>
          <w:i w:val="false"/>
          <w:sz w:val="20"/>
        </w:rPr>
        <w:t>发言人1 答：部分成长性强、创新力好的公司在收入规模还不是很大时，其估值扩张能力较强。建议关注这些从不是很大到比较大的发展阶段的公司，同时，标普等优秀公司凭借长期主义、强大的创新能力、稳定的管理团队以及科学的商业模式判断，值得我们借鉴学习。</w:t>
      </w:r>
    </w:p>
    <w:p>
      <w:r>
        <w:rPr>
          <w:rFonts w:ascii="等线(中文正文)" w:hAnsi="等线(中文正文)" w:cs="等线(中文正文)" w:eastAsia="等线(中文正文)"/>
          <w:b w:val="false"/>
          <w:i w:val="false"/>
          <w:sz w:val="20"/>
        </w:rPr>
        <w:t/>
      </w:r>
    </w:p>
    <w:p>
      <w:pPr>
        <w:pStyle w:val="ab"/>
      </w:pPr>
      <w:r>
        <w:t>发言人1 问：对于中国市场和消费行业有何展望？</w:t>
      </w:r>
    </w:p>
    <w:p>
      <w:r>
        <w:rPr>
          <w:rFonts w:ascii="等线(中文正文)" w:hAnsi="等线(中文正文)" w:cs="等线(中文正文)" w:eastAsia="等线(中文正文)"/>
          <w:b w:val="false"/>
          <w:i w:val="false"/>
          <w:sz w:val="20"/>
        </w:rPr>
        <w:t>发言人1 答：看好中国消费市场规模巨大，可类比欧洲市场的特点，看好持续全国扩张的逻辑。尤其是一些中盘市值在50亿至200亿之间，甚至更低市值的公司，它们具备全国扩张潜力和较强盈利能力，可以作为中长期布局和关注的对象，主要考察四个要素：一是市场是否发生变化，二是估值是否较低，三是筹码是否稀少，四是公司的经营能力和诉求合理性。</w:t>
      </w:r>
    </w:p>
    <w:p>
      <w:r>
        <w:rPr>
          <w:rFonts w:ascii="等线(中文正文)" w:hAnsi="等线(中文正文)" w:cs="等线(中文正文)" w:eastAsia="等线(中文正文)"/>
          <w:b w:val="false"/>
          <w:i w:val="false"/>
          <w:sz w:val="20"/>
        </w:rPr>
        <w:t/>
      </w:r>
    </w:p>
    <w:p>
      <w:pPr>
        <w:pStyle w:val="ab"/>
      </w:pPr>
      <w:r>
        <w:t>发言人1 问：在当前市场环境下，对于赛道溢价或折价的看法是怎样的？</w:t>
      </w:r>
    </w:p>
    <w:p>
      <w:r>
        <w:rPr>
          <w:rFonts w:ascii="等线(中文正文)" w:hAnsi="等线(中文正文)" w:cs="等线(中文正文)" w:eastAsia="等线(中文正文)"/>
          <w:b w:val="false"/>
          <w:i w:val="false"/>
          <w:sz w:val="20"/>
        </w:rPr>
        <w:t>发言人1 答：现在赛道的定价已经比较充分，以往可能存在的赛道溢价或折价可以有所下降。我们仍像茅台一样关注现金流状况，尤其对于消费品公司来说，在目前阶段现金流非常重要。</w:t>
      </w:r>
    </w:p>
    <w:p>
      <w:r>
        <w:rPr>
          <w:rFonts w:ascii="等线(中文正文)" w:hAnsi="等线(中文正文)" w:cs="等线(中文正文)" w:eastAsia="等线(中文正文)"/>
          <w:b w:val="false"/>
          <w:i w:val="false"/>
          <w:sz w:val="20"/>
        </w:rPr>
        <w:t/>
      </w:r>
    </w:p>
    <w:p>
      <w:pPr>
        <w:pStyle w:val="ab"/>
      </w:pPr>
      <w:r>
        <w:t>发言人1 问：市场维持在4000点左右意味着什么？</w:t>
      </w:r>
    </w:p>
    <w:p>
      <w:r>
        <w:rPr>
          <w:rFonts w:ascii="等线(中文正文)" w:hAnsi="等线(中文正文)" w:cs="等线(中文正文)" w:eastAsia="等线(中文正文)"/>
          <w:b w:val="false"/>
          <w:i w:val="false"/>
          <w:sz w:val="20"/>
        </w:rPr>
        <w:t>发言人1 答：市场维持在4000点左右是非常好的情况，因为股市有牛短熊长的特性，稳定的市场有利于持续产生赚钱效应。像美国市场一样，各个板块都有机会，巴菲特也强调投资自己擅长领域的股票，并且每个领域的投资都需要平衡，以捕捉有潜力的公司。</w:t>
      </w:r>
    </w:p>
    <w:p>
      <w:r>
        <w:rPr>
          <w:rFonts w:ascii="等线(中文正文)" w:hAnsi="等线(中文正文)" w:cs="等线(中文正文)" w:eastAsia="等线(中文正文)"/>
          <w:b w:val="false"/>
          <w:i w:val="false"/>
          <w:sz w:val="20"/>
        </w:rPr>
        <w:t/>
      </w:r>
    </w:p>
    <w:p>
      <w:pPr>
        <w:pStyle w:val="ab"/>
      </w:pPr>
      <w:r>
        <w:t>发言人1 问：对于华润等央企更换董事长以及国有资本投资的重要性有何看法？</w:t>
      </w:r>
    </w:p>
    <w:p>
      <w:r>
        <w:rPr>
          <w:rFonts w:ascii="等线(中文正文)" w:hAnsi="等线(中文正文)" w:cs="等线(中文正文)" w:eastAsia="等线(中文正文)"/>
          <w:b w:val="false"/>
          <w:i w:val="false"/>
          <w:sz w:val="20"/>
        </w:rPr>
        <w:t>发言人1 答：华润等央企更换董事长标志着国有资本投资成为一个重要的创举，未来将持续进行。国有资本将一部分转变为具有投资功能的体系，需要像二级市场或A股一样算回报率并持续跟踪，确保投资活动的连续性和管理的有效性。</w:t>
      </w:r>
    </w:p>
    <w:p>
      <w:r>
        <w:rPr>
          <w:rFonts w:ascii="等线(中文正文)" w:hAnsi="等线(中文正文)" w:cs="等线(中文正文)" w:eastAsia="等线(中文正文)"/>
          <w:b w:val="false"/>
          <w:i w:val="false"/>
          <w:sz w:val="20"/>
        </w:rPr>
        <w:t/>
      </w:r>
    </w:p>
    <w:p>
      <w:pPr>
        <w:pStyle w:val="ab"/>
      </w:pPr>
      <w:r>
        <w:t>发言人1 问：如何看待对像白酒这样的消费行业长期投资的重要性？</w:t>
      </w:r>
    </w:p>
    <w:p>
      <w:r>
        <w:rPr>
          <w:rFonts w:ascii="等线(中文正文)" w:hAnsi="等线(中文正文)" w:cs="等线(中文正文)" w:eastAsia="等线(中文正文)"/>
          <w:b w:val="false"/>
          <w:i w:val="false"/>
          <w:sz w:val="20"/>
        </w:rPr>
        <w:t>发言人1 答：在消费行业，尤其是白酒行业，长期投资非常重要。虽然去年基数较低，但今年仍有一批公司表现不佳。像金水源、古井贡等公司由于所处区域经济活力强，需求稳定，未来增长空间较大。同时，也提到了茅台、汾酒、老窖等公司有较大发展潜力。</w:t>
      </w:r>
    </w:p>
    <w:p>
      <w:r>
        <w:rPr>
          <w:rFonts w:ascii="等线(中文正文)" w:hAnsi="等线(中文正文)" w:cs="等线(中文正文)" w:eastAsia="等线(中文正文)"/>
          <w:b w:val="false"/>
          <w:i w:val="false"/>
          <w:sz w:val="20"/>
        </w:rPr>
        <w:t/>
      </w:r>
    </w:p>
    <w:p>
      <w:pPr>
        <w:pStyle w:val="ab"/>
      </w:pPr>
      <w:r>
        <w:t>发言人1 问：对于板块分化及个股表现有何分析？</w:t>
      </w:r>
    </w:p>
    <w:p>
      <w:r>
        <w:rPr>
          <w:rFonts w:ascii="等线(中文正文)" w:hAnsi="等线(中文正文)" w:cs="等线(中文正文)" w:eastAsia="等线(中文正文)"/>
          <w:b w:val="false"/>
          <w:i w:val="false"/>
          <w:sz w:val="20"/>
        </w:rPr>
        <w:t>发言人1 答：板块调整导致了个股分化明显，部分公司掉队，但也有一些公司表现突出。以李路为例，尽管市值相对较小，但其逆势投入，发展潜力较大，值得投资者关注。此外，像茅台、五粮液这样的核心资产也较为值得关注。</w:t>
      </w:r>
    </w:p>
    <w:p>
      <w:r>
        <w:rPr>
          <w:rFonts w:ascii="等线(中文正文)" w:hAnsi="等线(中文正文)" w:cs="等线(中文正文)" w:eastAsia="等线(中文正文)"/>
          <w:b w:val="false"/>
          <w:i w:val="false"/>
          <w:sz w:val="20"/>
        </w:rPr>
        <w:t/>
      </w:r>
    </w:p>
    <w:p>
      <w:pPr>
        <w:pStyle w:val="ab"/>
      </w:pPr>
      <w:r>
        <w:t>发言人1 问：在当前市场环境下，全面交换信息是否已经实现，以及白酒板块未来的估值提升潜力如何？</w:t>
      </w:r>
    </w:p>
    <w:p>
      <w:r>
        <w:rPr>
          <w:rFonts w:ascii="等线(中文正文)" w:hAnsi="等线(中文正文)" w:cs="等线(中文正文)" w:eastAsia="等线(中文正文)"/>
          <w:b w:val="false"/>
          <w:i w:val="false"/>
          <w:sz w:val="20"/>
        </w:rPr>
        <w:t>发言人1 答：目前整体还未全面实现信息交换，但部分公司已经开始做得不错。对于白酒板块，明年如果经济和地产形势改善，将对整个板块估值带来很大帮助。历史上看，板块大涨过程中估值扩张幅度远大于利润扩张幅度，最终还是赚估值的钱。全国化是核心问题，能否实现全国化并持续增长至关重要。</w:t>
      </w:r>
    </w:p>
    <w:p>
      <w:r>
        <w:rPr>
          <w:rFonts w:ascii="等线(中文正文)" w:hAnsi="等线(中文正文)" w:cs="等线(中文正文)" w:eastAsia="等线(中文正文)"/>
          <w:b w:val="false"/>
          <w:i w:val="false"/>
          <w:sz w:val="20"/>
        </w:rPr>
        <w:t/>
      </w:r>
    </w:p>
    <w:p>
      <w:pPr>
        <w:pStyle w:val="ab"/>
      </w:pPr>
      <w:r>
        <w:t>发言人1 问：对于并购行为的看法以及对未来制度建设和公司管理有哪些期待？</w:t>
      </w:r>
    </w:p>
    <w:p>
      <w:r>
        <w:rPr>
          <w:rFonts w:ascii="等线(中文正文)" w:hAnsi="等线(中文正文)" w:cs="等线(中文正文)" w:eastAsia="等线(中文正文)"/>
          <w:b w:val="false"/>
          <w:i w:val="false"/>
          <w:sz w:val="20"/>
        </w:rPr>
        <w:t>发言人1 答：看好并购行为，尤其是随着制度建设完善和收购主体水平提高，未来可能会出现溢价收购的情况。同时，强调投入管理，例如某科技公司把用完的钱全部还给股东的做法值得学习，这体现出对未来发展的信心和对股东价值的重视。</w:t>
      </w:r>
    </w:p>
    <w:p>
      <w:r>
        <w:rPr>
          <w:rFonts w:ascii="等线(中文正文)" w:hAnsi="等线(中文正文)" w:cs="等线(中文正文)" w:eastAsia="等线(中文正文)"/>
          <w:b w:val="false"/>
          <w:i w:val="false"/>
          <w:sz w:val="20"/>
        </w:rPr>
        <w:t/>
      </w:r>
    </w:p>
    <w:p>
      <w:pPr>
        <w:pStyle w:val="ab"/>
      </w:pPr>
      <w:r>
        <w:t>发言人1 问：对于白酒和调味品行业的发展趋势和投资机会有何见解？</w:t>
      </w:r>
    </w:p>
    <w:p>
      <w:r>
        <w:rPr>
          <w:rFonts w:ascii="等线(中文正文)" w:hAnsi="等线(中文正文)" w:cs="等线(中文正文)" w:eastAsia="等线(中文正文)"/>
          <w:b w:val="false"/>
          <w:i w:val="false"/>
          <w:sz w:val="20"/>
        </w:rPr>
        <w:t>发言人1 答：白酒行业仍有机会，特别是某些细分品种有较大上涨空间；调味品中，如酱油等家庭用调味料仍有较大发展空间，而餐饮体系相关的公司则偏向供应链服务，有望通过深度挖掘供应链实现较大扩张。此外，关注即将上市的一家为国内二线西餐连锁提供服务的公司，其定位和扩张性较好。</w:t>
      </w:r>
    </w:p>
    <w:p>
      <w:r>
        <w:rPr>
          <w:rFonts w:ascii="等线(中文正文)" w:hAnsi="等线(中文正文)" w:cs="等线(中文正文)" w:eastAsia="等线(中文正文)"/>
          <w:b w:val="false"/>
          <w:i w:val="false"/>
          <w:sz w:val="20"/>
        </w:rPr>
        <w:t/>
      </w:r>
    </w:p>
    <w:p>
      <w:pPr>
        <w:pStyle w:val="ab"/>
      </w:pPr>
      <w:r>
        <w:t>发言人1 问：如何看待抓住行业时机验证企业能力的重要性，以及对于伊利、蒙牛和妙可等乳业公司的差异化发展战略的理解？</w:t>
      </w:r>
    </w:p>
    <w:p>
      <w:r>
        <w:rPr>
          <w:rFonts w:ascii="等线(中文正文)" w:hAnsi="等线(中文正文)" w:cs="等线(中文正文)" w:eastAsia="等线(中文正文)"/>
          <w:b w:val="false"/>
          <w:i w:val="false"/>
          <w:sz w:val="20"/>
        </w:rPr>
        <w:t>发言人1 答：抓住行业时机并找到最佳实现机会的抓手对于验证企业能力至关重要，不论该抓手是自主研发还是借鉴他人成果。以伊利、蒙牛和妙可为例，它们在常温、低温产品以及健康食品等领域形成各自特色和优势，避免了同质化竞争，实现了差异化发展。</w:t>
      </w:r>
    </w:p>
    <w:p>
      <w:r>
        <w:rPr>
          <w:rFonts w:ascii="等线(中文正文)" w:hAnsi="等线(中文正文)" w:cs="等线(中文正文)" w:eastAsia="等线(中文正文)"/>
          <w:b w:val="false"/>
          <w:i w:val="false"/>
          <w:sz w:val="20"/>
        </w:rPr>
        <w:t/>
      </w:r>
    </w:p>
    <w:p>
      <w:pPr>
        <w:pStyle w:val="ab"/>
      </w:pPr>
      <w:r>
        <w:t>发言人1 问：AI生成的文章提到“如果你少干点可能会赚的更多”，这句话在乳液市场中是否适用？</w:t>
      </w:r>
    </w:p>
    <w:p>
      <w:r>
        <w:rPr>
          <w:rFonts w:ascii="等线(中文正文)" w:hAnsi="等线(中文正文)" w:cs="等线(中文正文)" w:eastAsia="等线(中文正文)"/>
          <w:b w:val="false"/>
          <w:i w:val="false"/>
          <w:sz w:val="20"/>
        </w:rPr>
        <w:t>发言人1 答：这句话在特定条件下适用，中国的乳液市场竞争激烈，类似啤酒行业。伊利作为公司，未来利润率有望超过10%，并且新产品的开发和老产品的改进有助于保持竞争优势。伊利的股息和估值都表现良好。</w:t>
      </w:r>
    </w:p>
    <w:p>
      <w:r>
        <w:rPr>
          <w:rFonts w:ascii="等线(中文正文)" w:hAnsi="等线(中文正文)" w:cs="等线(中文正文)" w:eastAsia="等线(中文正文)"/>
          <w:b w:val="false"/>
          <w:i w:val="false"/>
          <w:sz w:val="20"/>
        </w:rPr>
        <w:t/>
      </w:r>
    </w:p>
    <w:p>
      <w:pPr>
        <w:pStyle w:val="ab"/>
      </w:pPr>
      <w:r>
        <w:t>发言人1 问：对于乳液行业的看法如何？</w:t>
      </w:r>
    </w:p>
    <w:p>
      <w:r>
        <w:rPr>
          <w:rFonts w:ascii="等线(中文正文)" w:hAnsi="等线(中文正文)" w:cs="等线(中文正文)" w:eastAsia="等线(中文正文)"/>
          <w:b w:val="false"/>
          <w:i w:val="false"/>
          <w:sz w:val="20"/>
        </w:rPr>
        <w:t>发言人1 答：预计乳液行业一年内可获得30%以上的绝对收益。伊利作为核心资产，利用后发优势，在低温产品这一健康领域仍有增长空间，并且通过产品开发可能在下一个消费周期中占据更大优势。</w:t>
      </w:r>
    </w:p>
    <w:p>
      <w:r>
        <w:rPr>
          <w:rFonts w:ascii="等线(中文正文)" w:hAnsi="等线(中文正文)" w:cs="等线(中文正文)" w:eastAsia="等线(中文正文)"/>
          <w:b w:val="false"/>
          <w:i w:val="false"/>
          <w:sz w:val="20"/>
        </w:rPr>
        <w:t/>
      </w:r>
    </w:p>
    <w:p>
      <w:pPr>
        <w:pStyle w:val="ab"/>
      </w:pPr>
      <w:r>
        <w:t>发言人1 问：品牌中药方面的观点是什么？</w:t>
      </w:r>
    </w:p>
    <w:p>
      <w:r>
        <w:rPr>
          <w:rFonts w:ascii="等线(中文正文)" w:hAnsi="等线(中文正文)" w:cs="等线(中文正文)" w:eastAsia="等线(中文正文)"/>
          <w:b w:val="false"/>
          <w:i w:val="false"/>
          <w:sz w:val="20"/>
        </w:rPr>
        <w:t>发言人1 答：林锐半年报显示老产品表现尚可，政策对公司有利，但关键在于新产品的发展。同时，注重老产品的改造升级、渠道精细化管理及潜在并购，例如收购英国公司等。</w:t>
      </w:r>
    </w:p>
    <w:p>
      <w:r>
        <w:rPr>
          <w:rFonts w:ascii="等线(中文正文)" w:hAnsi="等线(中文正文)" w:cs="等线(中文正文)" w:eastAsia="等线(中文正文)"/>
          <w:b w:val="false"/>
          <w:i w:val="false"/>
          <w:sz w:val="20"/>
        </w:rPr>
        <w:t/>
      </w:r>
    </w:p>
    <w:p>
      <w:pPr>
        <w:pStyle w:val="ab"/>
      </w:pPr>
      <w:r>
        <w:t>发言人1 问：对于休闲食品及饮料行业的看法？</w:t>
      </w:r>
    </w:p>
    <w:p>
      <w:r>
        <w:rPr>
          <w:rFonts w:ascii="等线(中文正文)" w:hAnsi="等线(中文正文)" w:cs="等线(中文正文)" w:eastAsia="等线(中文正文)"/>
          <w:b w:val="false"/>
          <w:i w:val="false"/>
          <w:sz w:val="20"/>
        </w:rPr>
        <w:t>发言人1 答：休闲食品和饮料行业商业模式灵活，可通过新产品快速实现一波增长。目前部分公司的预期较低，且潜在复购率较好。饮料行业高复购存在一定难度，但随着需求分散化，需要成功公司如农夫山泉、东鹏饮料等进行多元化布局，同时也关注新兴品牌及B端业务的发展潜力。</w:t>
      </w:r>
    </w:p>
    <w:p>
      <w:r>
        <w:rPr>
          <w:rFonts w:ascii="等线(中文正文)" w:hAnsi="等线(中文正文)" w:cs="等线(中文正文)" w:eastAsia="等线(中文正文)"/>
          <w:b w:val="false"/>
          <w:i w:val="false"/>
          <w:sz w:val="20"/>
        </w:rPr>
        <w:t/>
      </w:r>
    </w:p>
    <w:p>
      <w:pPr>
        <w:pStyle w:val="ab"/>
      </w:pPr>
      <w:r>
        <w:t>发言人1 问：如何看待AI在食品行业中的应用？</w:t>
      </w:r>
    </w:p>
    <w:p>
      <w:r>
        <w:rPr>
          <w:rFonts w:ascii="等线(中文正文)" w:hAnsi="等线(中文正文)" w:cs="等线(中文正文)" w:eastAsia="等线(中文正文)"/>
          <w:b w:val="false"/>
          <w:i w:val="false"/>
          <w:sz w:val="20"/>
        </w:rPr>
        <w:t>发言人1 答：AI将在食品行业发挥重要作用，如根据个人身体数据推荐适合的零食和饮料类型，形成体系化的产品和服务。目前行业内已有公司在尝试此类创新，预计很快会有相关公司上市。同时强调，在产业链各环节，如智能工厂、下游店铺及服务等方面也存在投资机会。</w:t>
      </w:r>
    </w:p>
    <w:p>
      <w:r>
        <w:rPr>
          <w:rFonts w:ascii="等线(中文正文)" w:hAnsi="等线(中文正文)" w:cs="等线(中文正文)" w:eastAsia="等线(中文正文)"/>
          <w:b w:val="false"/>
          <w:i w:val="false"/>
          <w:sz w:val="20"/>
        </w:rPr>
        <w:t/>
      </w:r>
    </w:p>
    <w:p>
      <w:pPr>
        <w:pStyle w:val="ab"/>
      </w:pPr>
      <w:r>
        <w:t>发言人1 问：对于当前食品饮料板块投资策略的建议？</w:t>
      </w:r>
    </w:p>
    <w:p>
      <w:r>
        <w:rPr>
          <w:rFonts w:ascii="等线(中文正文)" w:hAnsi="等线(中文正文)" w:cs="等线(中文正文)" w:eastAsia="等线(中文正文)"/>
          <w:b w:val="false"/>
          <w:i w:val="false"/>
          <w:sz w:val="20"/>
        </w:rPr>
        <w:t>发言人1 答：虽然板块存在一些问题，但应有信心并保持耐心，前瞻性的投资一些已展现明显变化的公司。关注行业比较、公司内部管理和外部环境变化，避免因个别优秀公司而过度乐观或忽视整个板块的风险。目前仍看好具备较高股息率和合理估值的食品饮料标的。</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2026-08-16T16:27:51Z</dcterms:created>
  <dc:creator>Apache POI</dc:creator>
</cp:coreProperties>
</file>