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九丰能源 260813_导读</w:t>
      </w:r>
    </w:p>
    <w:p>
      <w:pPr>
        <w:pStyle w:val="a0"/>
        <w:jc w:val="center"/>
      </w:pPr>
      <w:r>
        <w:t>2026年08月17日 00:26</w:t>
      </w:r>
    </w:p>
    <w:p>
      <w:pPr>
        <w:pStyle w:val="a7"/>
      </w:pPr>
      <w:r>
        <w:t>关键词</w:t>
      </w:r>
    </w:p>
    <w:p>
      <w:r>
        <w:rPr>
          <w:rFonts w:ascii="等线(中文正文)" w:hAnsi="等线(中文正文)" w:cs="等线(中文正文)" w:eastAsia="等线(中文正文)"/>
          <w:b w:val="false"/>
          <w:i w:val="false"/>
          <w:sz w:val="20"/>
        </w:rPr>
        <w:t xml:space="preserve">天然气 LPG LNG 毛利 现金流 海气 陆气 资源池 华中 华南 华北 储备库 供应链 市场价格 经营环境 资本开支 分红 资产负债表 商业航天 清洁能源 </w:t>
      </w:r>
    </w:p>
    <w:p>
      <w:r>
        <w:rPr>
          <w:rFonts w:ascii="等线(中文正文)" w:hAnsi="等线(中文正文)" w:cs="等线(中文正文)" w:eastAsia="等线(中文正文)"/>
          <w:b w:val="false"/>
          <w:i w:val="false"/>
          <w:sz w:val="20"/>
        </w:rPr>
        <w:t/>
      </w:r>
    </w:p>
    <w:p>
      <w:pPr>
        <w:pStyle w:val="a7"/>
      </w:pPr>
      <w:r>
        <w:t>章节速览</w:t>
      </w:r>
    </w:p>
    <w:p>
      <w:pPr>
        <w:pStyle w:val="a7"/>
      </w:pPr>
      <w:r>
        <w:t>发言总结</w:t>
      </w:r>
    </w:p>
    <w:p>
      <w:pPr>
        <w:pStyle w:val="ab"/>
        <w:numPr>
          <w:numId w:val="1"/>
        </w:numPr>
      </w:pPr>
      <w:r>
        <w:t>发言人1</w:t>
      </w:r>
    </w:p>
    <w:p>
      <w:r>
        <w:rPr>
          <w:rFonts w:ascii="等线(中文正文)" w:hAnsi="等线(中文正文)" w:cs="等线(中文正文)" w:eastAsia="等线(中文正文)"/>
          <w:b w:val="false"/>
          <w:i w:val="false"/>
          <w:sz w:val="20"/>
        </w:rPr>
        <w:t>首先回顾了2026年上半年的经营情况，指出经营环境比预期更加复杂，特别强调了中东地缘冲突对供应链和市场价格的显著影响。尽管面临多重挑战，公司凭借产业链协同与资源配置的优势，实现了经营的韧性增长，利润总额同比增长26.69%，归属上市公司股东的净利润同比增长10.4%。他强调，公司正积极应对市场变化，捕捉机遇，并在资本开支和分红策略上采取审慎管理。对于未来，他虽展望了可能面临的挑战，但仍表达了对市场和公司自身能力的信心，承诺将持续关注市场动态和机会，以确保公司能够实现持续稳健的发展。</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问：今年上半年的经营环境相比四月份预想的有何变化？国内天然气方面的产量、进口量以及消费量情况如何？</w:t>
      </w:r>
    </w:p>
    <w:p>
      <w:r>
        <w:rPr>
          <w:rFonts w:ascii="等线(中文正文)" w:hAnsi="等线(中文正文)" w:cs="等线(中文正文)" w:eastAsia="等线(中文正文)"/>
          <w:b w:val="false"/>
          <w:i w:val="false"/>
          <w:sz w:val="20"/>
        </w:rPr>
        <w:t>发言人1 答：今年上半年的经营环境比四月份预想的更加复杂，中东地缘冲突反复发酵，霍尔木兹海峡通行受阻，全球天然气和LPG供应链受到严重冲击，市场价格剧烈波动，企业面临的经营不确定性显著上升。上半年国内天然气累计产量约为1330亿方，同比增长1.6%，创历史同期新高。天然气进口量为5745万吨，同比下降3.5%。国内天然气消费量约2130亿立方米，同比增长1.1%，其中LNG交通用气增长13.4%，工业下降13.1%，城燃发电、化工等领域总体下降。</w:t>
      </w:r>
    </w:p>
    <w:p>
      <w:r>
        <w:rPr>
          <w:rFonts w:ascii="等线(中文正文)" w:hAnsi="等线(中文正文)" w:cs="等线(中文正文)" w:eastAsia="等线(中文正文)"/>
          <w:b w:val="false"/>
          <w:i w:val="false"/>
          <w:sz w:val="20"/>
        </w:rPr>
        <w:t/>
      </w:r>
    </w:p>
    <w:p>
      <w:pPr>
        <w:pStyle w:val="ab"/>
      </w:pPr>
      <w:r>
        <w:t>发言人1 问：上半年公司的业绩表现如何？</w:t>
      </w:r>
    </w:p>
    <w:p>
      <w:r>
        <w:rPr>
          <w:rFonts w:ascii="等线(中文正文)" w:hAnsi="等线(中文正文)" w:cs="等线(中文正文)" w:eastAsia="等线(中文正文)"/>
          <w:b w:val="false"/>
          <w:i w:val="false"/>
          <w:sz w:val="20"/>
        </w:rPr>
        <w:t>发言人1 答：上半年公司实现利润总额11.44亿元，同比增长26.69%；归属上市公司股东的净利润为9.5亿元，同比增长10.4%。第二季度归母利润同比增长45.4%，若剔除股份支付费用、汇率损益及可转债利息费用等因素，净利润同比增长13%。经营活动产生的现金流净额达到17.58亿元，同比增长142%，与利润高度匹配，经营质量健康。</w:t>
      </w:r>
    </w:p>
    <w:p>
      <w:r>
        <w:rPr>
          <w:rFonts w:ascii="等线(中文正文)" w:hAnsi="等线(中文正文)" w:cs="等线(中文正文)" w:eastAsia="等线(中文正文)"/>
          <w:b w:val="false"/>
          <w:i w:val="false"/>
          <w:sz w:val="20"/>
        </w:rPr>
        <w:t/>
      </w:r>
    </w:p>
    <w:p>
      <w:pPr>
        <w:pStyle w:val="ab"/>
      </w:pPr>
      <w:r>
        <w:t>发言人1 问：各业务板块的具体表现怎样？</w:t>
      </w:r>
    </w:p>
    <w:p>
      <w:r>
        <w:rPr>
          <w:rFonts w:ascii="等线(中文正文)" w:hAnsi="等线(中文正文)" w:cs="等线(中文正文)" w:eastAsia="等线(中文正文)"/>
          <w:b w:val="false"/>
          <w:i w:val="false"/>
          <w:sz w:val="20"/>
        </w:rPr>
        <w:t>发言人1 答：天然气业务方面，毛利虽然下降但仍稳固，上半年实现毛利约5.87亿元，同比减少约9600万。LNG生产与服务贡献毛利约1.72亿元，同比增长14%。LPG板块上半年毛利约6.75亿元，同比增长约130%，单吨毛利约800元，同比大幅增长。此外，公司在海南商业航天发射配套项目、氦气业务等方面也取得了积极进展，并且在资本开支方面按计划推进各项项目。</w:t>
      </w:r>
    </w:p>
    <w:p>
      <w:r>
        <w:rPr>
          <w:rFonts w:ascii="等线(中文正文)" w:hAnsi="等线(中文正文)" w:cs="等线(中文正文)" w:eastAsia="等线(中文正文)"/>
          <w:b w:val="false"/>
          <w:i w:val="false"/>
          <w:sz w:val="20"/>
        </w:rPr>
        <w:t/>
      </w:r>
    </w:p>
    <w:p>
      <w:pPr>
        <w:pStyle w:val="ab"/>
      </w:pPr>
      <w:r>
        <w:t>发言人1 问：下半年公司面临的主要挑战是什么？</w:t>
      </w:r>
    </w:p>
    <w:p>
      <w:r>
        <w:rPr>
          <w:rFonts w:ascii="等线(中文正文)" w:hAnsi="等线(中文正文)" w:cs="等线(中文正文)" w:eastAsia="等线(中文正文)"/>
          <w:b w:val="false"/>
          <w:i w:val="false"/>
          <w:sz w:val="20"/>
        </w:rPr>
        <w:t>发言人1 答：下半年面临的主要挑战源自地缘局势的不可预测性，尤其是中东冲突的走向存在极大不确定性，可能带来阶段性的供应紧张或价格快速回落，这对资源采购节奏和顺价能力提出了更高要求。</w:t>
      </w:r>
    </w:p>
    <w:p>
      <w:r>
        <w:rPr>
          <w:rFonts w:ascii="等线(中文正文)" w:hAnsi="等线(中文正文)" w:cs="等线(中文正文)" w:eastAsia="等线(中文正文)"/>
          <w:b w:val="false"/>
          <w:i w:val="false"/>
          <w:sz w:val="20"/>
        </w:rPr>
        <w:t/>
      </w:r>
    </w:p>
    <w:p>
      <w:pPr>
        <w:pStyle w:val="ab"/>
      </w:pPr>
      <w:r>
        <w:t>发言人1 问：关于公司财务方面，中报显示现金流非常好，涉及一些应付账款和其他应付款，请问这些款项是否与美日系项目有关？</w:t>
      </w:r>
    </w:p>
    <w:p>
      <w:r>
        <w:rPr>
          <w:rFonts w:ascii="等线(中文正文)" w:hAnsi="等线(中文正文)" w:cs="等线(中文正文)" w:eastAsia="等线(中文正文)"/>
          <w:b w:val="false"/>
          <w:i w:val="false"/>
          <w:sz w:val="20"/>
        </w:rPr>
        <w:t>发言人1 答：上半年公司现金流管理成效显著。应付账款的增加额主要是主营清洁能源产品如LNG和部分LPG的采购应付款。而其他应付款增加约五个亿，主要是由于公司收购了山西利安和古县两个在建的煤气制气项目，相关的工程应付款构成了其他应付款增加的主要原因。</w:t>
      </w:r>
    </w:p>
    <w:p>
      <w:r>
        <w:rPr>
          <w:rFonts w:ascii="等线(中文正文)" w:hAnsi="等线(中文正文)" w:cs="等线(中文正文)" w:eastAsia="等线(中文正文)"/>
          <w:b w:val="false"/>
          <w:i w:val="false"/>
          <w:sz w:val="20"/>
        </w:rPr>
        <w:t/>
      </w:r>
    </w:p>
    <w:p>
      <w:pPr>
        <w:pStyle w:val="ab"/>
      </w:pPr>
      <w:r>
        <w:t>发言人1 问：能否介绍一下LNG和LPG的毛差情况？</w:t>
      </w:r>
    </w:p>
    <w:p>
      <w:r>
        <w:rPr>
          <w:rFonts w:ascii="等线(中文正文)" w:hAnsi="等线(中文正文)" w:cs="等线(中文正文)" w:eastAsia="等线(中文正文)"/>
          <w:b w:val="false"/>
          <w:i w:val="false"/>
          <w:sz w:val="20"/>
        </w:rPr>
        <w:t>发言人1 答：公司关注的LNG和LPG的整体量价匹配情况是这样的：上半年，天然气的平均毛利维持在630元左右，LPG的平均毛差约为八百多元。LNG上半年的总量达到92万吨，而LPG的总量为80万吨。</w:t>
      </w:r>
    </w:p>
    <w:p>
      <w:r>
        <w:rPr>
          <w:rFonts w:ascii="等线(中文正文)" w:hAnsi="等线(中文正文)" w:cs="等线(中文正文)" w:eastAsia="等线(中文正文)"/>
          <w:b w:val="false"/>
          <w:i w:val="false"/>
          <w:sz w:val="20"/>
        </w:rPr>
        <w:t/>
      </w:r>
    </w:p>
    <w:p>
      <w:pPr>
        <w:pStyle w:val="ab"/>
      </w:pPr>
      <w:r>
        <w:t>发言人1 问：LPG储备库相关的后续业务展望情况如何？</w:t>
      </w:r>
    </w:p>
    <w:p>
      <w:r>
        <w:rPr>
          <w:rFonts w:ascii="等线(中文正文)" w:hAnsi="等线(中文正文)" w:cs="等线(中文正文)" w:eastAsia="等线(中文正文)"/>
          <w:b w:val="false"/>
          <w:i w:val="false"/>
          <w:sz w:val="20"/>
        </w:rPr>
        <w:t>发言人1 答：公司在LPG市场深耕多年，具备整体运作能力。四月份，公司与湖北民生石油液化有限公司签订了合作协议，租赁了12000立方米的仓储服务，旨在形成华南、华中、华北三大格局下的跨区域资源调配综合安排。基于对市场的深入理解和客户布局规划，公司针对性地布局华中地区的LPG仓储业务。相信新布局将通过跨区域协调，使资源更有效地流向利润增长点和客户群体。</w:t>
      </w:r>
    </w:p>
    <w:p>
      <w:r>
        <w:rPr>
          <w:rFonts w:ascii="等线(中文正文)" w:hAnsi="等线(中文正文)" w:cs="等线(中文正文)" w:eastAsia="等线(中文正文)"/>
          <w:b w:val="false"/>
          <w:i w:val="false"/>
          <w:sz w:val="20"/>
        </w:rPr>
        <w:t/>
      </w:r>
    </w:p>
    <w:p>
      <w:pPr>
        <w:pStyle w:val="ab"/>
      </w:pPr>
      <w:r>
        <w:t>发言人1 问：关于煤制气项目，当前的投资额是否有进一步变化？</w:t>
      </w:r>
    </w:p>
    <w:p>
      <w:r>
        <w:rPr>
          <w:rFonts w:ascii="等线(中文正文)" w:hAnsi="等线(中文正文)" w:cs="等线(中文正文)" w:eastAsia="等线(中文正文)"/>
          <w:b w:val="false"/>
          <w:i w:val="false"/>
          <w:sz w:val="20"/>
        </w:rPr>
        <w:t>发言人1 答：目前，我们仍在按照之前的规划进行投资，并没有发生重大变化。在保证项目顺利进行的同时，也在努力降低成本，合理使用资金。</w:t>
      </w:r>
    </w:p>
    <w:p>
      <w:r>
        <w:rPr>
          <w:rFonts w:ascii="等线(中文正文)" w:hAnsi="等线(中文正文)" w:cs="等线(中文正文)" w:eastAsia="等线(中文正文)"/>
          <w:b w:val="false"/>
          <w:i w:val="false"/>
          <w:sz w:val="20"/>
        </w:rPr>
        <w:t/>
      </w:r>
    </w:p>
    <w:p>
      <w:pPr>
        <w:pStyle w:val="ab"/>
      </w:pPr>
      <w:r>
        <w:t>发言人1 问：今年百汽长鞋、现货以及LPG资源的具体流向是怎样的？是否有资源回国的情况？</w:t>
      </w:r>
    </w:p>
    <w:p>
      <w:r>
        <w:rPr>
          <w:rFonts w:ascii="等线(中文正文)" w:hAnsi="等线(中文正文)" w:cs="等线(中文正文)" w:eastAsia="等线(中文正文)"/>
          <w:b w:val="false"/>
          <w:i w:val="false"/>
          <w:sz w:val="20"/>
        </w:rPr>
        <w:t>发言人1 答：今年上半年，海气供应量为26万吨，全部用于国内供应。LPG方面，上半年主要在国内销售，同时也有一小部分实现转口贸易。关于LPG的具体流向，我们按照之前的销售策略，民用和化工领域分别占70%和30%。</w:t>
      </w:r>
    </w:p>
    <w:p>
      <w:r>
        <w:rPr>
          <w:rFonts w:ascii="等线(中文正文)" w:hAnsi="等线(中文正文)" w:cs="等线(中文正文)" w:eastAsia="等线(中文正文)"/>
          <w:b w:val="false"/>
          <w:i w:val="false"/>
          <w:sz w:val="20"/>
        </w:rPr>
        <w:t/>
      </w:r>
    </w:p>
    <w:p>
      <w:pPr>
        <w:pStyle w:val="ab"/>
      </w:pPr>
      <w:r>
        <w:t>发言人1 问：面对价格波动，下半年公司在AMG和LPG资源采购及销售方面将如何考虑？</w:t>
      </w:r>
    </w:p>
    <w:p>
      <w:r>
        <w:rPr>
          <w:rFonts w:ascii="等线(中文正文)" w:hAnsi="等线(中文正文)" w:cs="等线(中文正文)" w:eastAsia="等线(中文正文)"/>
          <w:b w:val="false"/>
          <w:i w:val="false"/>
          <w:sz w:val="20"/>
        </w:rPr>
        <w:t>发言人1 答：下半年，公司将继续采取顺价策略，确保资源采购与销售的经济效益。对于长协部分，已确定有四川的货源供应，同时还在争取更多内部调配量。现货方面，会寻找合适的时机进行采购和销售，以实现利润最大化。LPG的销售策略与上半年基本一致，整体规划量会回到接近战争前的水平。</w:t>
      </w:r>
    </w:p>
    <w:p>
      <w:r>
        <w:rPr>
          <w:rFonts w:ascii="等线(中文正文)" w:hAnsi="等线(中文正文)" w:cs="等线(中文正文)" w:eastAsia="等线(中文正文)"/>
          <w:b w:val="false"/>
          <w:i w:val="false"/>
          <w:sz w:val="20"/>
        </w:rPr>
        <w:t/>
      </w:r>
    </w:p>
    <w:p>
      <w:pPr>
        <w:pStyle w:val="ab"/>
      </w:pPr>
      <w:r>
        <w:t>发言人1 问：公司在拓展中长期资源方面有哪些进展可以分享？</w:t>
      </w:r>
    </w:p>
    <w:p>
      <w:r>
        <w:rPr>
          <w:rFonts w:ascii="等线(中文正文)" w:hAnsi="等线(中文正文)" w:cs="等线(中文正文)" w:eastAsia="等线(中文正文)"/>
          <w:b w:val="false"/>
          <w:i w:val="false"/>
          <w:sz w:val="20"/>
        </w:rPr>
        <w:t>发言人1 答：关于新长协的谈判工作正在进行中，虽然具体内容保密，但目标是在相对合适的价格点和稳定的谈判环境下，获得对公司长期发展有利的资源量。对于具体落地的时间表，将在适当的时候公布。</w:t>
      </w:r>
    </w:p>
    <w:p>
      <w:r>
        <w:rPr>
          <w:rFonts w:ascii="等线(中文正文)" w:hAnsi="等线(中文正文)" w:cs="等线(中文正文)" w:eastAsia="等线(中文正文)"/>
          <w:b w:val="false"/>
          <w:i w:val="false"/>
          <w:sz w:val="20"/>
        </w:rPr>
        <w:t/>
      </w:r>
    </w:p>
    <w:p>
      <w:pPr>
        <w:pStyle w:val="ab"/>
      </w:pPr>
      <w:r>
        <w:t>发言人1 问：新疆煤气项目投产后的盈利预期如何？以及LPG长协占比及油价下跌对毛利的影响？</w:t>
      </w:r>
    </w:p>
    <w:p>
      <w:r>
        <w:rPr>
          <w:rFonts w:ascii="等线(中文正文)" w:hAnsi="等线(中文正文)" w:cs="等线(中文正文)" w:eastAsia="等线(中文正文)"/>
          <w:b w:val="false"/>
          <w:i w:val="false"/>
          <w:sz w:val="20"/>
        </w:rPr>
        <w:t>发言人1 答：新疆煤气项目未来投产后的盈利情况会根据煤炭价格和气象条件等因素进行评估。至于LPG长协比例，目前未给出具体数字。若油价下跌，会对LPG业务的毛利产生一定下行风险，但具体影响程度需结合实际情况分析。</w:t>
      </w:r>
    </w:p>
    <w:p>
      <w:r>
        <w:rPr>
          <w:rFonts w:ascii="等线(中文正文)" w:hAnsi="等线(中文正文)" w:cs="等线(中文正文)" w:eastAsia="等线(中文正文)"/>
          <w:b w:val="false"/>
          <w:i w:val="false"/>
          <w:sz w:val="20"/>
        </w:rPr>
        <w:t/>
      </w:r>
    </w:p>
    <w:p>
      <w:pPr>
        <w:pStyle w:val="ab"/>
      </w:pPr>
      <w:r>
        <w:t>发言人1 问：新疆项目的盈利展望如何，气价和煤炭价格的变化对项目有何影响？</w:t>
      </w:r>
    </w:p>
    <w:p>
      <w:r>
        <w:rPr>
          <w:rFonts w:ascii="等线(中文正文)" w:hAnsi="等线(中文正文)" w:cs="等线(中文正文)" w:eastAsia="等线(中文正文)"/>
          <w:b w:val="false"/>
          <w:i w:val="false"/>
          <w:sz w:val="20"/>
        </w:rPr>
        <w:t>发言人1 答：目前新疆的气价相比之前可研测算时有所升高，大约高出8毛左右，而煤炭价格维持在之前预研时的水平，且供应量较大。由于项目本身具备稳定的能源供应来源及新疆当地煤炭不易外运的特点，我们认为项目盈利相对平稳。同时，按当前市场气价计算，投产后的盈利空间优于之前的预期。</w:t>
      </w:r>
    </w:p>
    <w:p>
      <w:r>
        <w:rPr>
          <w:rFonts w:ascii="等线(中文正文)" w:hAnsi="等线(中文正文)" w:cs="等线(中文正文)" w:eastAsia="等线(中文正文)"/>
          <w:b w:val="false"/>
          <w:i w:val="false"/>
          <w:sz w:val="20"/>
        </w:rPr>
        <w:t/>
      </w:r>
    </w:p>
    <w:p>
      <w:pPr>
        <w:pStyle w:val="ab"/>
      </w:pPr>
      <w:r>
        <w:t>发言人1 问：长协LPG锁价情况以及未来利润预期是怎样的？</w:t>
      </w:r>
    </w:p>
    <w:p>
      <w:r>
        <w:rPr>
          <w:rFonts w:ascii="等线(中文正文)" w:hAnsi="等线(中文正文)" w:cs="等线(中文正文)" w:eastAsia="等线(中文正文)"/>
          <w:b w:val="false"/>
          <w:i w:val="false"/>
          <w:sz w:val="20"/>
        </w:rPr>
        <w:t>发言人1 答：LPG业务在年初基于整体采购计划进行资源调配，并能在年初实现顺价。在多户运营逻辑下，吨毛差能够保持相对稳定。战争情况下，吨毛差会有所上升，但恢复到常态后应回到战前整体总量。随着多库运营能力的提升，12月份吨毛差已有所提高，预计未来会回归到一个合理的吨毛差运行状态，整体利润可观。</w:t>
      </w:r>
    </w:p>
    <w:p>
      <w:r>
        <w:rPr>
          <w:rFonts w:ascii="等线(中文正文)" w:hAnsi="等线(中文正文)" w:cs="等线(中文正文)" w:eastAsia="等线(中文正文)"/>
          <w:b w:val="false"/>
          <w:i w:val="false"/>
          <w:sz w:val="20"/>
        </w:rPr>
        <w:t/>
      </w:r>
    </w:p>
    <w:p>
      <w:pPr>
        <w:pStyle w:val="ab"/>
      </w:pPr>
      <w:r>
        <w:t>发言人1 问：商业航天全年展望、新场景布局的贡献时间和分红情况如何？</w:t>
      </w:r>
    </w:p>
    <w:p>
      <w:r>
        <w:rPr>
          <w:rFonts w:ascii="等线(中文正文)" w:hAnsi="等线(中文正文)" w:cs="等线(中文正文)" w:eastAsia="等线(中文正文)"/>
          <w:b w:val="false"/>
          <w:i w:val="false"/>
          <w:sz w:val="20"/>
        </w:rPr>
        <w:t>发言人1 答：对于全年商业航天发射频率展望，海南商业卫星发射场二期项目将在2026年底具备发射能力，届时发射量预计达到60次每年，之前预期的全年发射次数为24次左右，预计在二期项目全部投产后提升至28次左右。关于分红，今年已进行两次分红，第一次为每股两毛钱，第二次分红安排将在下半年根据现金情况和资本开支规划确定，并会及时公告。</w:t>
      </w:r>
    </w:p>
    <w:p>
      <w:r>
        <w:rPr>
          <w:rFonts w:ascii="等线(中文正文)" w:hAnsi="等线(中文正文)" w:cs="等线(中文正文)" w:eastAsia="等线(中文正文)"/>
          <w:b w:val="false"/>
          <w:i w:val="false"/>
          <w:sz w:val="20"/>
        </w:rPr>
        <w:t/>
      </w:r>
    </w:p>
    <w:p>
      <w:pPr>
        <w:pStyle w:val="ab"/>
      </w:pPr>
      <w:r>
        <w:t>发言人1 问：后续分红的整体判断趋势是怎样的？</w:t>
      </w:r>
    </w:p>
    <w:p>
      <w:r>
        <w:rPr>
          <w:rFonts w:ascii="等线(中文正文)" w:hAnsi="等线(中文正文)" w:cs="等线(中文正文)" w:eastAsia="等线(中文正文)"/>
          <w:b w:val="false"/>
          <w:i w:val="false"/>
          <w:sz w:val="20"/>
        </w:rPr>
        <w:t>发言人1 答：后续分红将维持相对稳定，并尽量保持在不影响公司正常发展方向的范围内。我们希望每年分配不少于可分配利润的10%。</w:t>
      </w:r>
    </w:p>
    <w:p>
      <w:r>
        <w:rPr>
          <w:rFonts w:ascii="等线(中文正文)" w:hAnsi="等线(中文正文)" w:cs="等线(中文正文)" w:eastAsia="等线(中文正文)"/>
          <w:b w:val="false"/>
          <w:i w:val="false"/>
          <w:sz w:val="20"/>
        </w:rPr>
        <w:t/>
      </w:r>
    </w:p>
    <w:p>
      <w:pPr>
        <w:pStyle w:val="ab"/>
      </w:pPr>
      <w:r>
        <w:t>发言人1 问：请问氦气供应哪些下游半导体厂商？</w:t>
      </w:r>
    </w:p>
    <w:p>
      <w:r>
        <w:rPr>
          <w:rFonts w:ascii="等线(中文正文)" w:hAnsi="等线(中文正文)" w:cs="等线(中文正文)" w:eastAsia="等线(中文正文)"/>
          <w:b w:val="false"/>
          <w:i w:val="false"/>
          <w:sz w:val="20"/>
        </w:rPr>
        <w:t>发言人1 答：截止报告期，我们主要与宁德时代、三光电等企业达成供气和士气合作，并与广东一些新制半导体企业进行士气合作。此外，我们还与宝宝五等进行相应贡献。</w:t>
      </w:r>
    </w:p>
    <w:p>
      <w:r>
        <w:rPr>
          <w:rFonts w:ascii="等线(中文正文)" w:hAnsi="等线(中文正文)" w:cs="等线(中文正文)" w:eastAsia="等线(中文正文)"/>
          <w:b w:val="false"/>
          <w:i w:val="false"/>
          <w:sz w:val="20"/>
        </w:rPr>
        <w:t/>
      </w:r>
    </w:p>
    <w:p>
      <w:pPr>
        <w:pStyle w:val="ab"/>
      </w:pPr>
      <w:r>
        <w:t>发言人1 问：公司布局清洁能源业务在华中市场后，对于运输半径扩张和整体盈利能力的预期是什么？公司除了现有的在建项目外，未来还有哪些业务布局有望长期拓展？</w:t>
      </w:r>
    </w:p>
    <w:p>
      <w:r>
        <w:rPr>
          <w:rFonts w:ascii="等线(中文正文)" w:hAnsi="等线(中文正文)" w:cs="等线(中文正文)" w:eastAsia="等线(中文正文)"/>
          <w:b w:val="false"/>
          <w:i w:val="false"/>
          <w:sz w:val="20"/>
        </w:rPr>
        <w:t>发言人1 答：公司基于跨区域资源布局，在华中市场的布局能够利用最优运输半径和现有仓储设施，预计会带来整体未来盈利和量的增长。公司将继续围绕主营业务，向上游寻求稳定的优质权益类气和资源类项目投资建设，向下寻求终端市场的潜在项目安排，尤其是对于高附加值的半导体厂、新能源企业等下游客户。</w:t>
      </w:r>
    </w:p>
    <w:p>
      <w:r>
        <w:rPr>
          <w:rFonts w:ascii="等线(中文正文)" w:hAnsi="等线(中文正文)" w:cs="等线(中文正文)" w:eastAsia="等线(中文正文)"/>
          <w:b w:val="false"/>
          <w:i w:val="false"/>
          <w:sz w:val="20"/>
        </w:rPr>
        <w:t/>
      </w:r>
    </w:p>
    <w:p>
      <w:pPr>
        <w:pStyle w:val="ab"/>
      </w:pPr>
      <w:r>
        <w:t>发言人1 问：关于氦气售价及产能扩计划进展，以及商业航天项目的情况能否分享一下？</w:t>
      </w:r>
    </w:p>
    <w:p>
      <w:r>
        <w:rPr>
          <w:rFonts w:ascii="等线(中文正文)" w:hAnsi="等线(中文正文)" w:cs="等线(中文正文)" w:eastAsia="等线(中文正文)"/>
          <w:b w:val="false"/>
          <w:i w:val="false"/>
          <w:sz w:val="20"/>
        </w:rPr>
        <w:t>发言人1 答：氦气售价相对有优势，且有扩产计划。目前自有氦气产能为150万方，未来会有投资并购以提升产能。关于商业航天，文昌单发利润与去年基本持平，酒泉项目正在积极建设中，预计建成后将实现长期供应商合作。</w:t>
      </w:r>
    </w:p>
    <w:p>
      <w:r>
        <w:rPr>
          <w:rFonts w:ascii="等线(中文正文)" w:hAnsi="等线(中文正文)" w:cs="等线(中文正文)" w:eastAsia="等线(中文正文)"/>
          <w:b w:val="false"/>
          <w:i w:val="false"/>
          <w:sz w:val="20"/>
        </w:rPr>
        <w:t/>
      </w:r>
    </w:p>
    <w:p>
      <w:pPr>
        <w:pStyle w:val="ab"/>
      </w:pPr>
      <w:r>
        <w:t>发言人1 问：下半年氦气是否会有超额利润贡献？</w:t>
      </w:r>
    </w:p>
    <w:p>
      <w:r>
        <w:rPr>
          <w:rFonts w:ascii="等线(中文正文)" w:hAnsi="等线(中文正文)" w:cs="等线(中文正文)" w:eastAsia="等线(中文正文)"/>
          <w:b w:val="false"/>
          <w:i w:val="false"/>
          <w:sz w:val="20"/>
        </w:rPr>
        <w:t>发言人1 答：下半年氦气利润贡献取决于市场变化，目前氦气价格回归到相对合理的水平但仍然高于之前，且随着向高附加值行业销售模式的切换，氦气利润和售价有望上涨。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2026-08-16T16:27:38Z</dcterms:created>
  <dc:creator>Apache POI</dc:creator>
</cp:coreProperties>
</file>