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【华创非银 徐康团队】深度30讲：中国股市的资金面正在发生深度变化 260816_导读</w:t>
      </w:r>
    </w:p>
    <w:p>
      <w:pPr>
        <w:pStyle w:val="a0"/>
        <w:jc w:val="center"/>
      </w:pPr>
      <w:r>
        <w:t>2026年08月16日 22:39</w:t>
      </w:r>
    </w:p>
    <w:p>
      <w:pPr>
        <w:pStyle w:val="a7"/>
      </w:pPr>
      <w:r>
        <w:t>关键词</w:t>
      </w:r>
    </w:p>
    <w:p>
      <w:r>
        <w:rPr>
          <w:rFonts w:ascii="等线(中文正文)" w:hAnsi="等线(中文正文)" w:cs="等线(中文正文)" w:eastAsia="等线(中文正文)"/>
          <w:b w:val="false"/>
          <w:i w:val="false"/>
          <w:sz w:val="20"/>
        </w:rPr>
        <w:t xml:space="preserve">保险 权益配置 公募基金 固收加 年金 ETF 长期资金 投资收益 权益资产 养老金 代销渠道 规模增长 保险行业 投资管理人 权益配置比例 固收加产品 市场调整 科技股 结构性行情 年金管理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华商证券的金融行业首席分析师详细分析了中国资本市场在2023年下半年的资金面情况，指出保险、年金、公募和私募是市场供给的核心角色。保险行业增加了权益配置比例，达到历史高位，年金市场的增长对股市的长期影响被低估，公募基金分化显著，固收加类产品受欢迎，而私募基金增长显著，但市场分化影响了量化策略的超额收益。机构资金的逐步入市使得市场资金面产生了深度变动，推动了市场更均衡的发展。分析师强调，下半年市场投资机会将更加扩散，随着科技股的估值调整和宽基ETF的潜在申购回流，市场可能变得更加均衡，为投资者提供了新的投资机会。</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保险资金加仓权益资产分析</w:t>
      </w:r>
    </w:p>
    <w:p>
      <w:r>
        <w:rPr>
          <w:rFonts w:ascii="等线(中文正文)" w:hAnsi="等线(中文正文)" w:cs="等线(中文正文)" w:eastAsia="等线(中文正文)"/>
          <w:b w:val="false"/>
          <w:i w:val="false"/>
          <w:sz w:val="20"/>
        </w:rPr>
        <w:t>对话深入探讨了保险公司权益资产配置的现状与趋势，指出在利率下行背景下，保险公司为应对投资挑战，大幅增加权益资产配置，尤其是头部公司。然而，由于偿付能力约束及下半年销售节奏影响，预计下半年保险公司权益加仓空间有限。分析还提到，下半年保险销售将更多依赖传统险，以平衡新业务价值与负债成本，而上半年通过银保渠道销售的风险险则有助于提高权益配置比例。</w:t>
      </w:r>
    </w:p>
    <w:p>
      <w:r>
        <w:rPr>
          <w:rFonts w:ascii="等线(中文正文)" w:hAnsi="等线(中文正文)" w:cs="等线(中文正文)" w:eastAsia="等线(中文正文)"/>
          <w:b w:val="false"/>
          <w:i w:val="false"/>
          <w:sz w:val="20"/>
        </w:rPr>
        <w:t/>
      </w:r>
    </w:p>
    <w:p>
      <w:pPr>
        <w:pStyle w:val="ab"/>
        <w:numPr>
          <w:numId w:val="2"/>
        </w:numPr>
      </w:pPr>
      <w:r>
        <w:t>04:52 2023年上半年公募基金市场分析与下半年趋势预测</w:t>
      </w:r>
    </w:p>
    <w:p>
      <w:r>
        <w:rPr>
          <w:rFonts w:ascii="等线(中文正文)" w:hAnsi="等线(中文正文)" w:cs="等线(中文正文)" w:eastAsia="等线(中文正文)"/>
          <w:b w:val="false"/>
          <w:i w:val="false"/>
          <w:sz w:val="20"/>
        </w:rPr>
        <w:t>上半年公募基金市场中，固收加产品份额显著增加，主要得益于银行代销渠道的高接受度及市场整体表现良好。主动权益和被动权益份额增长不明显，尤其被动权益份额大幅下降。下半年预计固收加销售环比减少，但全年规模同比仍有望增长。市场调整后，行业排名和格局变化显著，结构性行情成为规模增长关键。</w:t>
      </w:r>
    </w:p>
    <w:p>
      <w:r>
        <w:rPr>
          <w:rFonts w:ascii="等线(中文正文)" w:hAnsi="等线(中文正文)" w:cs="等线(中文正文)" w:eastAsia="等线(中文正文)"/>
          <w:b w:val="false"/>
          <w:i w:val="false"/>
          <w:sz w:val="20"/>
        </w:rPr>
        <w:t/>
      </w:r>
    </w:p>
    <w:p>
      <w:pPr>
        <w:pStyle w:val="ab"/>
        <w:numPr>
          <w:numId w:val="3"/>
        </w:numPr>
      </w:pPr>
      <w:r>
        <w:t>09:18 年金增长与权益资产配置趋势分析</w:t>
      </w:r>
    </w:p>
    <w:p>
      <w:r>
        <w:rPr>
          <w:rFonts w:ascii="等线(中文正文)" w:hAnsi="等线(中文正文)" w:cs="等线(中文正文)" w:eastAsia="等线(中文正文)"/>
          <w:b w:val="false"/>
          <w:i w:val="false"/>
          <w:sz w:val="20"/>
        </w:rPr>
        <w:t>对话深入探讨了企业年金与职业年金规模的显著增长及其对市场的影响，指出年金作为重要增量资金，正逐步增加权益类资产配置比例，预计未来将对市场产生更大影响。同时，强调了投资管理人需平衡风险与收益，适应利率下行环境下权益资产配置比重提升的趋势。</w:t>
      </w:r>
    </w:p>
    <w:p>
      <w:r>
        <w:rPr>
          <w:rFonts w:ascii="等线(中文正文)" w:hAnsi="等线(中文正文)" w:cs="等线(中文正文)" w:eastAsia="等线(中文正文)"/>
          <w:b w:val="false"/>
          <w:i w:val="false"/>
          <w:sz w:val="20"/>
        </w:rPr>
        <w:t/>
      </w:r>
    </w:p>
    <w:p>
      <w:pPr>
        <w:pStyle w:val="ab"/>
        <w:numPr>
          <w:numId w:val="4"/>
        </w:numPr>
      </w:pPr>
      <w:r>
        <w:t>14:17 市场资金流动与配置策略分析</w:t>
      </w:r>
    </w:p>
    <w:p>
      <w:r>
        <w:rPr>
          <w:rFonts w:ascii="等线(中文正文)" w:hAnsi="等线(中文正文)" w:cs="等线(中文正文)" w:eastAsia="等线(中文正文)"/>
          <w:b w:val="false"/>
          <w:i w:val="false"/>
          <w:sz w:val="20"/>
        </w:rPr>
        <w:t>对话深入探讨了市场资金流动趋势，指出权益配置难度加大，量化产品代销量或减少，私募规模增长分化，下半年增量资金可能减少，但被动资金回流可能平衡资金链。</w:t>
      </w:r>
    </w:p>
    <w:p>
      <w:r>
        <w:rPr>
          <w:rFonts w:ascii="等线(中文正文)" w:hAnsi="等线(中文正文)" w:cs="等线(中文正文)" w:eastAsia="等线(中文正文)"/>
          <w:b w:val="false"/>
          <w:i w:val="false"/>
          <w:sz w:val="20"/>
        </w:rPr>
        <w:t/>
      </w:r>
    </w:p>
    <w:p>
      <w:pPr>
        <w:pStyle w:val="ab"/>
        <w:numPr>
          <w:numId w:val="5"/>
        </w:numPr>
      </w:pPr>
      <w:r>
        <w:t>18:09 机构资金入市与股市资金面变化分析</w:t>
      </w:r>
    </w:p>
    <w:p>
      <w:r>
        <w:rPr>
          <w:rFonts w:ascii="等线(中文正文)" w:hAnsi="等线(中文正文)" w:cs="等线(中文正文)" w:eastAsia="等线(中文正文)"/>
          <w:b w:val="false"/>
          <w:i w:val="false"/>
          <w:sz w:val="20"/>
        </w:rPr>
        <w:t>随着长期资金逐步入市，股市资金面产生深度变动，机构导向成为主流，散户参与节奏较为平缓。新增开户数据显示，散户投资经验尚浅，市场行情分化明显。机构资金的进入使市场资金底色更均衡，中长期资金如保险、年金逐步入市，提升了A股的活跃度和流动性。下半年宽基赎回回流可能带来行业分布变化，科技股比重提升，传统行业如消费、医药等面临被动资金流出压力。沪深300指数成分股调整，科技股占比增加，市场预期下半年将更均衡，投资机会可能扩散。</w:t>
      </w:r>
    </w:p>
    <w:p>
      <w:r>
        <w:rPr>
          <w:rFonts w:ascii="等线(中文正文)" w:hAnsi="等线(中文正文)" w:cs="等线(中文正文)" w:eastAsia="等线(中文正文)"/>
          <w:b w:val="false"/>
          <w:i w:val="false"/>
          <w:sz w:val="20"/>
        </w:rPr>
        <w:t/>
      </w:r>
    </w:p>
    <w:p>
      <w:pPr>
        <w:pStyle w:val="ab"/>
        <w:numPr>
          <w:numId w:val="6"/>
        </w:numPr>
      </w:pPr>
      <w:r>
        <w:t>22:33 下半年市场资金结构与投资机会分析</w:t>
      </w:r>
    </w:p>
    <w:p>
      <w:r>
        <w:rPr>
          <w:rFonts w:ascii="等线(中文正文)" w:hAnsi="等线(中文正文)" w:cs="等线(中文正文)" w:eastAsia="等线(中文正文)"/>
          <w:b w:val="false"/>
          <w:i w:val="false"/>
          <w:sz w:val="20"/>
        </w:rPr>
        <w:t>下半年投资机会或更集中于高景气赛道，资金将偏好机会成本更低的行业。市场流动性改善，IPO承接能力增强，科技股供给增加，对中国股市长期重要性提升。需关注新增与存量资金结构调整对行业股价影响。团队将从多视角深入分析资金图谱，强调中长期资金面变动与市场影响。</w:t>
      </w:r>
    </w:p>
    <w:p>
      <w:r>
        <w:rPr>
          <w:rFonts w:ascii="等线(中文正文)" w:hAnsi="等线(中文正文)" w:cs="等线(中文正文)" w:eastAsia="等线(中文正文)"/>
          <w:b w:val="false"/>
          <w:i w:val="false"/>
          <w:sz w:val="20"/>
        </w:rPr>
        <w:t/>
      </w:r>
    </w:p>
    <w:p>
      <w:pPr>
        <w:pStyle w:val="a7"/>
      </w:pPr>
      <w:r>
        <w:t>发言总结</w:t>
      </w:r>
    </w:p>
    <w:p>
      <w:pPr>
        <w:pStyle w:val="ab"/>
        <w:numPr>
          <w:numId w:val="7"/>
        </w:numPr>
      </w:pPr>
      <w:r>
        <w:t>发言人1</w:t>
      </w:r>
    </w:p>
    <w:p>
      <w:r>
        <w:rPr>
          <w:rFonts w:ascii="等线(中文正文)" w:hAnsi="等线(中文正文)" w:cs="等线(中文正文)" w:eastAsia="等线(中文正文)"/>
          <w:b w:val="false"/>
          <w:i w:val="false"/>
          <w:sz w:val="20"/>
        </w:rPr>
        <w:t>他，华商证券金融行业首席分析师徐康，在金融深度汇报三十讲的第一期中，强调了中国资本市场资金面分析对下半年股市判断的重要性。他详细分析了保险、年金、公募和私募四大市场的供给角色，指出保险行业权益配置比例已达到高位，年金增长迅速并加大了权益资产配置，公募基金分化明显，而私募规模显著增长。徐康特别强调，长期资金如年金和保险资金对市场产生深度影响，促进了股市的均衡发展。他呼吁关注后续关于保险、年金、公募等专题内容，并强调了对金融行业深度研究的支持，提示下半年资金面变动将关注新增资金结构与存量结构调整对不同行业股价的影响。</w:t>
      </w:r>
    </w:p>
    <w:p>
      <w:r>
        <w:rPr>
          <w:rFonts w:ascii="等线(中文正文)" w:hAnsi="等线(中文正文)" w:cs="等线(中文正文)" w:eastAsia="等线(中文正文)"/>
          <w:b w:val="false"/>
          <w:i w:val="false"/>
          <w:sz w:val="20"/>
        </w:rPr>
        <w:t/>
      </w:r>
    </w:p>
    <w:p>
      <w:pPr>
        <w:pStyle w:val="a7"/>
      </w:pPr>
      <w:r>
        <w:t>要点回顾</w:t>
      </w:r>
    </w:p>
    <w:p>
      <w:pPr>
        <w:pStyle w:val="ab"/>
      </w:pPr>
      <w:r>
        <w:t>在对下半年股市的判断中，资金面分析扮演了什么角色？</w:t>
      </w:r>
    </w:p>
    <w:p>
      <w:r>
        <w:rPr>
          <w:rFonts w:ascii="等线(中文正文)" w:hAnsi="等线(中文正文)" w:cs="等线(中文正文)" w:eastAsia="等线(中文正文)"/>
          <w:b w:val="false"/>
          <w:i w:val="false"/>
          <w:sz w:val="20"/>
        </w:rPr>
        <w:t>发言人1：对于下半年股市的判断，我们认为资金面分析至关重要。我们将其细分为保险、年金、公募和私募几个部分，它们在市场供给中占据核心地位。通过分析这些资金来源和配置情况，可以帮助我们更好地理解市场流动性和结构变化，从而做出准确的市场预测。</w:t>
      </w:r>
    </w:p>
    <w:p>
      <w:r>
        <w:rPr>
          <w:rFonts w:ascii="等线(中文正文)" w:hAnsi="等线(中文正文)" w:cs="等线(中文正文)" w:eastAsia="等线(中文正文)"/>
          <w:b w:val="false"/>
          <w:i w:val="false"/>
          <w:sz w:val="20"/>
        </w:rPr>
        <w:t/>
      </w:r>
    </w:p>
    <w:p>
      <w:pPr>
        <w:pStyle w:val="ab"/>
      </w:pPr>
      <w:r>
        <w:t>公募基金市场的情况如何？</w:t>
      </w:r>
    </w:p>
    <w:p>
      <w:r>
        <w:rPr>
          <w:rFonts w:ascii="等线(中文正文)" w:hAnsi="等线(中文正文)" w:cs="等线(中文正文)" w:eastAsia="等线(中文正文)"/>
          <w:b w:val="false"/>
          <w:i w:val="false"/>
          <w:sz w:val="20"/>
        </w:rPr>
        <w:t>发言人1：今年公募基金市场呈现明显分化态势，固收加产品份额增长显著，尤其是由于银行代销渠道对固收加产品的接受度较高以及整体市场表现较好，大部分基金产品业绩合理，份额增长明显。相反，主动权益类份额增长不明显，甚至出现份额赎回较多的情况，主要原因是今年K型分化背景下的投资难度加大，部分赛道型和科技主题的产品规模增长较快，而其他偏主动管理类产品的份额增长受限。</w:t>
      </w:r>
    </w:p>
    <w:p>
      <w:r>
        <w:rPr>
          <w:rFonts w:ascii="等线(中文正文)" w:hAnsi="等线(中文正文)" w:cs="等线(中文正文)" w:eastAsia="等线(中文正文)"/>
          <w:b w:val="false"/>
          <w:i w:val="false"/>
          <w:sz w:val="20"/>
        </w:rPr>
        <w:t/>
      </w:r>
    </w:p>
    <w:p>
      <w:pPr>
        <w:pStyle w:val="ab"/>
      </w:pPr>
      <w:r>
        <w:t>保险资金在权益配置方面有何变化？为什么保险公司会选择增加权益资产配置？</w:t>
      </w:r>
    </w:p>
    <w:p>
      <w:r>
        <w:rPr>
          <w:rFonts w:ascii="等线(中文正文)" w:hAnsi="等线(中文正文)" w:cs="等线(中文正文)" w:eastAsia="等线(中文正文)"/>
          <w:b w:val="false"/>
          <w:i w:val="false"/>
          <w:sz w:val="20"/>
        </w:rPr>
        <w:t>发言人1：近两年，保险资金整体规模显著增加，并积极响应政策引导，大幅提升了权益配置比例。截至今年630节点，保险行业权益配置比例达到历史较高水平，这既是政策导向的结果，也是保险公司为应对利率下行挑战、优化资产负债匹配和提高投资收益而采取的策略。利率下行使得保险公司传统投资渠道如非标和债券的收益覆盖能力减弱，为了实现综合投资收益率的目标，保险公司不得不转向权益市场寻找收益。因此，从平安、人保到太保、阳光等公司，都在增加对权益资产尤其是红利资产和科技股的投资配置，以应对低利率环境下的投资压力。</w:t>
      </w:r>
    </w:p>
    <w:p>
      <w:r>
        <w:rPr>
          <w:rFonts w:ascii="等线(中文正文)" w:hAnsi="等线(中文正文)" w:cs="等线(中文正文)" w:eastAsia="等线(中文正文)"/>
          <w:b w:val="false"/>
          <w:i w:val="false"/>
          <w:sz w:val="20"/>
        </w:rPr>
        <w:t/>
      </w:r>
    </w:p>
    <w:p>
      <w:pPr>
        <w:pStyle w:val="ab"/>
      </w:pPr>
      <w:r>
        <w:t>保险公司在权益配置上还有多少空间？</w:t>
      </w:r>
    </w:p>
    <w:p>
      <w:r>
        <w:rPr>
          <w:rFonts w:ascii="等线(中文正文)" w:hAnsi="等线(中文正文)" w:cs="等线(中文正文)" w:eastAsia="等线(中文正文)"/>
          <w:b w:val="false"/>
          <w:i w:val="false"/>
          <w:sz w:val="20"/>
        </w:rPr>
        <w:t>发言人1：目前，保险公司在权益配置比例上已经接近相对高位，新增保费中配置权益的要求虽有所提升，但在偿付能力约束下，下半年进一步加仓权益的空间有限。同时，下半年销售节奏通常不如上半年，且上半年已通过银保渠道代销等方式增加了权益敞口，因此，下半年保险公司整体加仓权益的空间较为有限。</w:t>
      </w:r>
    </w:p>
    <w:p>
      <w:r>
        <w:rPr>
          <w:rFonts w:ascii="等线(中文正文)" w:hAnsi="等线(中文正文)" w:cs="等线(中文正文)" w:eastAsia="等线(中文正文)"/>
          <w:b w:val="false"/>
          <w:i w:val="false"/>
          <w:sz w:val="20"/>
        </w:rPr>
        <w:t/>
      </w:r>
    </w:p>
    <w:p>
      <w:pPr>
        <w:pStyle w:val="ab"/>
      </w:pPr>
      <w:r>
        <w:t>被动权益部分的市场状况怎样？</w:t>
      </w:r>
    </w:p>
    <w:p>
      <w:r>
        <w:rPr>
          <w:rFonts w:ascii="等线(中文正文)" w:hAnsi="等线(中文正文)" w:cs="等线(中文正文)" w:eastAsia="等线(中文正文)"/>
          <w:b w:val="false"/>
          <w:i w:val="false"/>
          <w:sz w:val="20"/>
        </w:rPr>
        <w:t>发言人1：被动权益部分市场分化严重，整体份额呈现下降趋势，行业主题类ETF如通信设备、半导体、电子等细分行业规模增长较为明显，但无法抵消整体份额赎回的影响。在这个过程中，很多行业的被动资金实际上是流出状态，这也对相关股价产生了相应影响。</w:t>
      </w:r>
    </w:p>
    <w:p>
      <w:r>
        <w:rPr>
          <w:rFonts w:ascii="等线(中文正文)" w:hAnsi="等线(中文正文)" w:cs="等线(中文正文)" w:eastAsia="等线(中文正文)"/>
          <w:b w:val="false"/>
          <w:i w:val="false"/>
          <w:sz w:val="20"/>
        </w:rPr>
        <w:t/>
      </w:r>
    </w:p>
    <w:p>
      <w:pPr>
        <w:pStyle w:val="ab"/>
      </w:pPr>
      <w:r>
        <w:t>今年上半年公募基金增量主要依赖于哪类产品？</w:t>
      </w:r>
    </w:p>
    <w:p>
      <w:r>
        <w:rPr>
          <w:rFonts w:ascii="等线(中文正文)" w:hAnsi="等线(中文正文)" w:cs="等线(中文正文)" w:eastAsia="等线(中文正文)"/>
          <w:b w:val="false"/>
          <w:i w:val="false"/>
          <w:sz w:val="20"/>
        </w:rPr>
        <w:t>发言人1：今年上半年公募基金增量主要依赖于固收加类产品。</w:t>
      </w:r>
    </w:p>
    <w:p>
      <w:r>
        <w:rPr>
          <w:rFonts w:ascii="等线(中文正文)" w:hAnsi="等线(中文正文)" w:cs="等线(中文正文)" w:eastAsia="等线(中文正文)"/>
          <w:b w:val="false"/>
          <w:i w:val="false"/>
          <w:sz w:val="20"/>
        </w:rPr>
        <w:t/>
      </w:r>
    </w:p>
    <w:p>
      <w:pPr>
        <w:pStyle w:val="ab"/>
      </w:pPr>
      <w:r>
        <w:t>对于下半年公募基金的固收加销售情况，你们有何判断？</w:t>
      </w:r>
    </w:p>
    <w:p>
      <w:r>
        <w:rPr>
          <w:rFonts w:ascii="等线(中文正文)" w:hAnsi="等线(中文正文)" w:cs="等线(中文正文)" w:eastAsia="等线(中文正文)"/>
          <w:b w:val="false"/>
          <w:i w:val="false"/>
          <w:sz w:val="20"/>
        </w:rPr>
        <w:t>发言人1：我们判断下半年整体固收加的销售环比上半年应该是有所减少，但全年同比去年应该还是能够继续增长。</w:t>
      </w:r>
    </w:p>
    <w:p>
      <w:r>
        <w:rPr>
          <w:rFonts w:ascii="等线(中文正文)" w:hAnsi="等线(中文正文)" w:cs="等线(中文正文)" w:eastAsia="等线(中文正文)"/>
          <w:b w:val="false"/>
          <w:i w:val="false"/>
          <w:sz w:val="20"/>
        </w:rPr>
        <w:t/>
      </w:r>
    </w:p>
    <w:p>
      <w:pPr>
        <w:pStyle w:val="ab"/>
      </w:pPr>
      <w:r>
        <w:t>养老金（年金）对市场的影响以及其配置情况如何？年金投资管理人在未来市场中的地位和影响会怎样变化？</w:t>
      </w:r>
    </w:p>
    <w:p>
      <w:r>
        <w:rPr>
          <w:rFonts w:ascii="等线(中文正文)" w:hAnsi="等线(中文正文)" w:cs="等线(中文正文)" w:eastAsia="等线(中文正文)"/>
          <w:b w:val="false"/>
          <w:i w:val="false"/>
          <w:sz w:val="20"/>
        </w:rPr>
        <w:t>发言人1：目前看，年轻角色（年金）对市场的影响被市场低估，企业年金和职业年金规模增长明显。截至去年年底，养老金规模已达约15.5万亿，并且权益配置比例从去年到今年显著提升，从过去的十几个点提升到了二三十个点，成为市场中非常重要的增量资金来源。随着年金不断归结投资，未来职业年金、企业年金的投资管理人将成为市场上越来越重要的机构投资者。假设未来五年再上新台阶，他们对市场的影响将会进一步放大，与海外趋势相匹配。</w:t>
      </w:r>
    </w:p>
    <w:p>
      <w:r>
        <w:rPr>
          <w:rFonts w:ascii="等线(中文正文)" w:hAnsi="等线(中文正文)" w:cs="等线(中文正文)" w:eastAsia="等线(中文正文)"/>
          <w:b w:val="false"/>
          <w:i w:val="false"/>
          <w:sz w:val="20"/>
        </w:rPr>
        <w:t/>
      </w:r>
    </w:p>
    <w:p>
      <w:pPr>
        <w:pStyle w:val="ab"/>
      </w:pPr>
      <w:r>
        <w:t>在当前市场环境下，权益资产配置的重要性有何变化？</w:t>
      </w:r>
    </w:p>
    <w:p>
      <w:r>
        <w:rPr>
          <w:rFonts w:ascii="等线(中文正文)" w:hAnsi="等线(中文正文)" w:cs="等线(中文正文)" w:eastAsia="等线(中文正文)"/>
          <w:b w:val="false"/>
          <w:i w:val="false"/>
          <w:sz w:val="20"/>
        </w:rPr>
        <w:t>发言人1：随着利率下行和债券投资难度增加，权益资产的重要性进一步提高，投资管理人需要更多地从长期视角去思考投资收益提升，增加对权益资产的暴露以提高整体权益收益率。</w:t>
      </w:r>
    </w:p>
    <w:p>
      <w:r>
        <w:rPr>
          <w:rFonts w:ascii="等线(中文正文)" w:hAnsi="等线(中文正文)" w:cs="等线(中文正文)" w:eastAsia="等线(中文正文)"/>
          <w:b w:val="false"/>
          <w:i w:val="false"/>
          <w:sz w:val="20"/>
        </w:rPr>
        <w:t/>
      </w:r>
    </w:p>
    <w:p>
      <w:pPr>
        <w:pStyle w:val="ab"/>
      </w:pPr>
      <w:r>
        <w:t>年金投资在权益配置调整时面临哪些挑战？</w:t>
      </w:r>
    </w:p>
    <w:p>
      <w:r>
        <w:rPr>
          <w:rFonts w:ascii="等线(中文正文)" w:hAnsi="等线(中文正文)" w:cs="等线(中文正文)" w:eastAsia="等线(中文正文)"/>
          <w:b w:val="false"/>
          <w:i w:val="false"/>
          <w:sz w:val="20"/>
        </w:rPr>
        <w:t>发言人1：年金在持仓较为集中时，当市场出现较大调整时，会增加对投资的考验，综合收益可能会受到较大挑战。因此，在提升权益配置中枢的同时，年金管理人也需要平衡风险。</w:t>
      </w:r>
    </w:p>
    <w:p>
      <w:r>
        <w:rPr>
          <w:rFonts w:ascii="等线(中文正文)" w:hAnsi="等线(中文正文)" w:cs="等线(中文正文)" w:eastAsia="等线(中文正文)"/>
          <w:b w:val="false"/>
          <w:i w:val="false"/>
          <w:sz w:val="20"/>
        </w:rPr>
        <w:t/>
      </w:r>
    </w:p>
    <w:p>
      <w:pPr>
        <w:pStyle w:val="ab"/>
      </w:pPr>
      <w:r>
        <w:t>随着年龄入场对市场影响的增加，下半年权益配置比例提升的难度是否增大？从私募角度考虑，今年量化投资规模增长的原因是什么？</w:t>
      </w:r>
    </w:p>
    <w:p>
      <w:r>
        <w:rPr>
          <w:rFonts w:ascii="等线(中文正文)" w:hAnsi="等线(中文正文)" w:cs="等线(中文正文)" w:eastAsia="等线(中文正文)"/>
          <w:b w:val="false"/>
          <w:i w:val="false"/>
          <w:sz w:val="20"/>
        </w:rPr>
        <w:t>发言人1：是的，随着年龄入场，整个对市场的影响确实进一步增加。在长周期配置角度上，上半年权益配置比例达到新高度后，下半年继续提高比例的难度加大，尤其是七月份权益市场的回调使得提升难度更大。下半年可能更多依赖存量结构进行均衡和调整，新增资金用于现金流投资组合分配的比例相较于上半年可能会减少。私募方面，去年至今年整个规模增长显著，主要得益于股票投资收益带来的增量以及今年券商代销的量化产品提供了低回撤和稳定收益的解决方案，受到了中高净值客户的青睐，因此量化规模增长也比较显著。</w:t>
      </w:r>
    </w:p>
    <w:p>
      <w:r>
        <w:rPr>
          <w:rFonts w:ascii="等线(中文正文)" w:hAnsi="等线(中文正文)" w:cs="等线(中文正文)" w:eastAsia="等线(中文正文)"/>
          <w:b w:val="false"/>
          <w:i w:val="false"/>
          <w:sz w:val="20"/>
        </w:rPr>
        <w:t/>
      </w:r>
    </w:p>
    <w:p>
      <w:pPr>
        <w:pStyle w:val="ab"/>
      </w:pPr>
      <w:r>
        <w:t>今年市场走势分化严重，量化投资超额收益的获取情况如何？</w:t>
      </w:r>
    </w:p>
    <w:p>
      <w:r>
        <w:rPr>
          <w:rFonts w:ascii="等线(中文正文)" w:hAnsi="等线(中文正文)" w:cs="等线(中文正文)" w:eastAsia="等线(中文正文)"/>
          <w:b w:val="false"/>
          <w:i w:val="false"/>
          <w:sz w:val="20"/>
        </w:rPr>
        <w:t>发言人1：由于市场走势分化，尤其是在科技股单边行情下，量化投资获取超额收益的难度较大。许多因子和策略不会对单一股票持仓暴露过多，在分化的行情中要实现绝对收益需要更多因子。上半年部分量化产品超额收益不明显，但随着股市波动加大，部分头部和中型厂商的收益有望提升。下半年量化的代销量可能不会像上半年那样显著，主要取决于超额收益的达成情况。</w:t>
      </w:r>
    </w:p>
    <w:p>
      <w:r>
        <w:rPr>
          <w:rFonts w:ascii="等线(中文正文)" w:hAnsi="等线(中文正文)" w:cs="等线(中文正文)" w:eastAsia="等线(中文正文)"/>
          <w:b w:val="false"/>
          <w:i w:val="false"/>
          <w:sz w:val="20"/>
        </w:rPr>
        <w:t/>
      </w:r>
    </w:p>
    <w:p>
      <w:pPr>
        <w:pStyle w:val="ab"/>
      </w:pPr>
      <w:r>
        <w:t>主观多头投资机构在行情布局上的表现如何？</w:t>
      </w:r>
    </w:p>
    <w:p>
      <w:r>
        <w:rPr>
          <w:rFonts w:ascii="等线(中文正文)" w:hAnsi="等线(中文正文)" w:cs="等线(中文正文)" w:eastAsia="等线(中文正文)"/>
          <w:b w:val="false"/>
          <w:i w:val="false"/>
          <w:sz w:val="20"/>
        </w:rPr>
        <w:t>发言人1：主观多头投资机构中，对于科技股和AI行情布局较多的部分，今年增长规模较为明显；而偏均衡型的机构，收益和规模增长受到一定限制。管理规模较小的主观多头机构业绩可能更好，规模增长斜率更陡峭。下半年再平衡趋势延续的话，规模分化现象可能会加剧。</w:t>
      </w:r>
    </w:p>
    <w:p>
      <w:r>
        <w:rPr>
          <w:rFonts w:ascii="等线(中文正文)" w:hAnsi="等线(中文正文)" w:cs="等线(中文正文)" w:eastAsia="等线(中文正文)"/>
          <w:b w:val="false"/>
          <w:i w:val="false"/>
          <w:sz w:val="20"/>
        </w:rPr>
        <w:t/>
      </w:r>
    </w:p>
    <w:p>
      <w:pPr>
        <w:pStyle w:val="ab"/>
      </w:pPr>
      <w:r>
        <w:t>综合判断下半年各类资金供给情况如何？</w:t>
      </w:r>
    </w:p>
    <w:p>
      <w:r>
        <w:rPr>
          <w:rFonts w:ascii="等线(中文正文)" w:hAnsi="等线(中文正文)" w:cs="等线(中文正文)" w:eastAsia="等线(中文正文)"/>
          <w:b w:val="false"/>
          <w:i w:val="false"/>
          <w:sz w:val="20"/>
        </w:rPr>
        <w:t>发言人1：尽管公募、保险、年金、私募等资金供给环比口径可能会略有减少，但由于上半年ETF赎回较多，若下半年被动资金申购增加，资金链可能会达到平衡状态，这对投资会产生一定影响。</w:t>
      </w:r>
    </w:p>
    <w:p>
      <w:r>
        <w:rPr>
          <w:rFonts w:ascii="等线(中文正文)" w:hAnsi="等线(中文正文)" w:cs="等线(中文正文)" w:eastAsia="等线(中文正文)"/>
          <w:b w:val="false"/>
          <w:i w:val="false"/>
          <w:sz w:val="20"/>
        </w:rPr>
        <w:t/>
      </w:r>
    </w:p>
    <w:p>
      <w:pPr>
        <w:pStyle w:val="ab"/>
      </w:pPr>
      <w:r>
        <w:t>长期资金入市对A股市场资金面产生了何种影响？</w:t>
      </w:r>
    </w:p>
    <w:p>
      <w:r>
        <w:rPr>
          <w:rFonts w:ascii="等线(中文正文)" w:hAnsi="等线(中文正文)" w:cs="等线(中文正文)" w:eastAsia="等线(中文正文)"/>
          <w:b w:val="false"/>
          <w:i w:val="false"/>
          <w:sz w:val="20"/>
        </w:rPr>
        <w:t>发言人1：长期资金入市后，A股市场资金面产生了深度变动，机构导向为主导的资金入市节奏更为平稳，散户进场节奏不如以往猛烈。这波机构入市使市场整体资金底色更均衡，提升了A股市场的活跃度、成交量和流动性。</w:t>
      </w:r>
    </w:p>
    <w:p>
      <w:r>
        <w:rPr>
          <w:rFonts w:ascii="等线(中文正文)" w:hAnsi="等线(中文正文)" w:cs="等线(中文正文)" w:eastAsia="等线(中文正文)"/>
          <w:b w:val="false"/>
          <w:i w:val="false"/>
          <w:sz w:val="20"/>
        </w:rPr>
        <w:t/>
      </w:r>
    </w:p>
    <w:p>
      <w:pPr>
        <w:pStyle w:val="ab"/>
      </w:pPr>
      <w:r>
        <w:t>宽基赎回回流后，对市场行业成分分布有何影响？</w:t>
      </w:r>
    </w:p>
    <w:p>
      <w:r>
        <w:rPr>
          <w:rFonts w:ascii="等线(中文正文)" w:hAnsi="等线(中文正文)" w:cs="等线(中文正文)" w:eastAsia="等线(中文正文)"/>
          <w:b w:val="false"/>
          <w:i w:val="false"/>
          <w:sz w:val="20"/>
        </w:rPr>
        <w:t>发言人1：宽基赎回回流后，行业成分分布将发生变化，像电子、电力设备等行业因景气度高，虽有被动资金流出，但主观资金愿意承接；而消费、医药、周期、金融等行业基本面平淡，若无更多主观资金配置，可能被动体现为资金流出，对股价产生一定影响。</w:t>
      </w:r>
    </w:p>
    <w:p>
      <w:r>
        <w:rPr>
          <w:rFonts w:ascii="等线(中文正文)" w:hAnsi="等线(中文正文)" w:cs="等线(中文正文)" w:eastAsia="等线(中文正文)"/>
          <w:b w:val="false"/>
          <w:i w:val="false"/>
          <w:sz w:val="20"/>
        </w:rPr>
        <w:t/>
      </w:r>
    </w:p>
    <w:p>
      <w:pPr>
        <w:pStyle w:val="ab"/>
      </w:pPr>
      <w:r>
        <w:t>下半年行情投资机会会有哪些变化？</w:t>
      </w:r>
    </w:p>
    <w:p>
      <w:r>
        <w:rPr>
          <w:rFonts w:ascii="等线(中文正文)" w:hAnsi="等线(中文正文)" w:cs="等线(中文正文)" w:eastAsia="等线(中文正文)"/>
          <w:b w:val="false"/>
          <w:i w:val="false"/>
          <w:sz w:val="20"/>
        </w:rPr>
        <w:t>发言人1：下半年投资机会可能会有所变化，行业层面的投资机会不如上半年扩散。资金更愿意布局高景气赛道以降低机会成本，部分高市值行业如半导体、通信设备权重提升，而部分传统行业如白酒、股份行和证券保险比重收缩。随着ETF申购的重新回归，新的行业分布将带来投资机会的扩散。</w:t>
      </w:r>
    </w:p>
    <w:p>
      <w:r>
        <w:rPr>
          <w:rFonts w:ascii="等线(中文正文)" w:hAnsi="等线(中文正文)" w:cs="等线(中文正文)" w:eastAsia="等线(中文正文)"/>
          <w:b w:val="false"/>
          <w:i w:val="false"/>
          <w:sz w:val="20"/>
        </w:rPr>
        <w:t/>
      </w:r>
    </w:p>
    <w:p>
      <w:pPr>
        <w:pStyle w:val="ab"/>
      </w:pPr>
      <w:r>
        <w:t>流动性改善及IPO对公司的影响是什么？</w:t>
      </w:r>
    </w:p>
    <w:p>
      <w:r>
        <w:rPr>
          <w:rFonts w:ascii="等线(中文正文)" w:hAnsi="等线(中文正文)" w:cs="等线(中文正文)" w:eastAsia="等线(中文正文)"/>
          <w:b w:val="false"/>
          <w:i w:val="false"/>
          <w:sz w:val="20"/>
        </w:rPr>
        <w:t>发言人1：流动性改善和重要IPO上市对公司有积极影响，A股的承接能力增强，有助于消化大IPO压力。下半年还有更多公司上市，将进一步改变宽基行业成本结构，为科技资产供给更多选择，提升中国股市对科技强国和经济贡献的能力。</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2026-08-16T14:41:03Z</dcterms:created>
  <dc:creator>Apache POI</dc:creator>
</cp:coreProperties>
</file>