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东吴非银 - 非银投资全景系列06期：公募基金发展观察：盈利能力大幅提升，行业集中度维持高位 260816_原文</w:t>
      </w:r>
    </w:p>
    <w:p>
      <w:pPr>
        <w:jc w:val="center"/>
      </w:pPr>
      <w:r>
        <w:rPr>
          <w:rFonts w:ascii="等线(中文正文)" w:hAnsi="等线(中文正文)" w:cs="等线(中文正文)" w:eastAsia="等线(中文正文)"/>
          <w:b w:val="false"/>
          <w:i w:val="false"/>
          <w:sz w:val="20"/>
        </w:rPr>
        <w:t>2026年08月16日 22:39</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我是东吴证券的非银分析师，是郭玉刚。我们今天给大家主要是分享一下，我们之前所撰写的关于公积金行业发展的这样一篇的深度报告。可能主要是聚焦在公积金全年的一个运行的全貌。包括行业内的一些公司的经营现状，配套的一些政策改革，以及相对应的二级市场的投资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00:37</w:t>
      </w:r>
    </w:p>
    <w:p>
      <w:r>
        <w:rPr>
          <w:rFonts w:ascii="等线(中文正文)" w:hAnsi="等线(中文正文)" w:cs="等线(中文正文)" w:eastAsia="等线(中文正文)"/>
          <w:b w:val="false"/>
          <w:i w:val="false"/>
          <w:sz w:val="20"/>
        </w:rPr>
        <w:t>整体来看，2025年是公积金行业全面回暖的一年。整个2025年的公募基金市场规模创下历史新高，尤其权益类基金成为这个行业规模增长的一个最主要的核心驱动力。在盈利水平方面，全市场的基金产品盈利水平平均的水平接近翻倍。且尤其是以这个etf代表的被动投资产品，迎来相对而言比较爆发式的一个扩张。第二从基金管理人经经营层面来看，各家机构的经营业绩相对而言出现了比较明显的分化。但是行业头部仍然保持一个相对稳固的格局。在这中间，不同的基金公司可能依托自身的资源禀赋，走出了相对而言比较有特色的一些发展路径。收益率方面，全行业的基金产品收益率也实现了较大的修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01:44</w:t>
      </w:r>
    </w:p>
    <w:p>
      <w:r>
        <w:rPr>
          <w:rFonts w:ascii="等线(中文正文)" w:hAnsi="等线(中文正文)" w:cs="等线(中文正文)" w:eastAsia="等线(中文正文)"/>
          <w:b w:val="false"/>
          <w:i w:val="false"/>
          <w:sz w:val="20"/>
        </w:rPr>
        <w:t>接下来我们进入报告的第一大部分，主要是聚焦在这个公积金市场的一个整体的运行情况。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01:56</w:t>
      </w:r>
    </w:p>
    <w:p>
      <w:r>
        <w:rPr>
          <w:rFonts w:ascii="等线(中文正文)" w:hAnsi="等线(中文正文)" w:cs="等线(中文正文)" w:eastAsia="等线(中文正文)"/>
          <w:b w:val="false"/>
          <w:i w:val="false"/>
          <w:sz w:val="20"/>
        </w:rPr>
        <w:t>2015年整个公募行业的规模，基本上是保持逐渐稳步上涨。尤其是在四月的关税风波的影响逐渐消退以后，这个行业的总规模是基本上是一路走高。五月的在不断的刷新这个历史记录，请关注公众号思维纪要社，更多纪要请加V西安20210130。截至2025年末，全市场公募基金的总规模达到了37.7万亿元，相较于2024年末的32.8万亿元，同比增幅接近15%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02:38</w:t>
      </w:r>
    </w:p>
    <w:p>
      <w:r>
        <w:rPr>
          <w:rFonts w:ascii="等线(中文正文)" w:hAnsi="等线(中文正文)" w:cs="等线(中文正文)" w:eastAsia="等线(中文正文)"/>
          <w:b w:val="false"/>
          <w:i w:val="false"/>
          <w:sz w:val="20"/>
        </w:rPr>
        <w:t>拆分不同类型品类的这个规模增速，其实这个结构化的特征也比较明显。像这个股票型混合型基金的增速相当。而言领跑全行业。QD基金依托居民全球资产配置的一个需求，增速也相对可观。那么债券券型基金和货币型基金实现了相对而言比较平稳的小增长。背后的核心逻辑认为可能还是主要是这个居民理财需求持续的从低收益储蓄，包括一些纯固收产品向这个权益市场的转移。从而导致股票基金和混合基金全年持续的吸引新的资金流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03:38</w:t>
      </w:r>
    </w:p>
    <w:p>
      <w:r>
        <w:rPr>
          <w:rFonts w:ascii="等线(中文正文)" w:hAnsi="等线(中文正文)" w:cs="等线(中文正文)" w:eastAsia="等线(中文正文)"/>
          <w:b w:val="false"/>
          <w:i w:val="false"/>
          <w:sz w:val="20"/>
        </w:rPr>
        <w:t>从新发规模层面来看，2025年尤其是权益金这个发行规模大幅的回暖。那么债券类基金相对而言可能相对来说发行层面相对而言并不是特别的理想。那么从2022年以来，公募行业的整体一个发行情况相对而言是处于一个下行状态，尤其是权益类基金。2025年伴随着这个行情的上行，股票以及混合类基金的发行规模同比实现大幅增长。尤其是指数类以及指数的增强产品，对这一类被动产品而言，增速相对来说更加显著一些。我们债券型基金在这个市场调整，包括监管导向转变的一个背景下，万年规模同比大幅减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04:37</w:t>
      </w:r>
    </w:p>
    <w:p>
      <w:r>
        <w:rPr>
          <w:rFonts w:ascii="等线(中文正文)" w:hAnsi="等线(中文正文)" w:cs="等线(中文正文)" w:eastAsia="等线(中文正文)"/>
          <w:b w:val="false"/>
          <w:i w:val="false"/>
          <w:sz w:val="20"/>
        </w:rPr>
        <w:t>从这个公募型基金各类别的发行情况来看，从2022年至2024年，债券型基金发行规模占比一直维持高位的是2025年，占比其实出现了一个较大程度的下滑。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05:03</w:t>
      </w:r>
    </w:p>
    <w:p>
      <w:r>
        <w:rPr>
          <w:rFonts w:ascii="等线(中文正文)" w:hAnsi="等线(中文正文)" w:cs="等线(中文正文)" w:eastAsia="等线(中文正文)"/>
          <w:b w:val="false"/>
          <w:i w:val="false"/>
          <w:sz w:val="20"/>
        </w:rPr>
        <w:t>如果从各种各个类型的经营产品的份额变化情况来看，股东权益基金相对而言份额的减少情况相对而言比较突出。可能是受到了etf分流，部分投资者可能在这个结构性行情下可能是落袋为安的一些考虑。混合型基金的份额也是在持续大幅的净流出，整体还是体现出投资者对于主动管理产品的一些信心，可能还是处在一个相对较低的位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05:43</w:t>
      </w:r>
    </w:p>
    <w:p>
      <w:r>
        <w:rPr>
          <w:rFonts w:ascii="等线(中文正文)" w:hAnsi="等线(中文正文)" w:cs="等线(中文正文)" w:eastAsia="等线(中文正文)"/>
          <w:b w:val="false"/>
          <w:i w:val="false"/>
          <w:sz w:val="20"/>
        </w:rPr>
        <w:t>债券型基金方面，2025年整体的份额也减少了将近1600亿份。但是其中的这个内部结构分化相对而言比较显著一些。中长期的纯债基金，包括短期的纯债基金，可能净流出的份额相对而言更多一些。但是一些混合策略的产品，包括一些固收加产品的一些基金产品，反而是在这个逆势实现了净流入。那么能整体也体现出利率下行周期中，投资者对于含权益的含量较高的这样一些固收加产品的偏好，可能较之存在的产品会更加青睐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06:30</w:t>
      </w:r>
    </w:p>
    <w:p>
      <w:r>
        <w:rPr>
          <w:rFonts w:ascii="等线(中文正文)" w:hAnsi="等线(中文正文)" w:cs="等线(中文正文)" w:eastAsia="等线(中文正文)"/>
          <w:b w:val="false"/>
          <w:i w:val="false"/>
          <w:sz w:val="20"/>
        </w:rPr>
        <w:t>货币型基金方面伴随着固收类产品收益的下行，一方面可能这一部分财富会去涌向这个权益基金。另一方面一些更加保守投资者可能更愿意去把货币基金作为现金管理以及观望的一个蓄水池。那么在2025年中，货币基金的份额也是实现了大幅攀升。整个2025年货币型基金的整体份额净流入达到了1.43万亿份，依旧是全市场基金份额增长的最主要的来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07:08</w:t>
      </w:r>
    </w:p>
    <w:p>
      <w:r>
        <w:rPr>
          <w:rFonts w:ascii="等线(中文正文)" w:hAnsi="等线(中文正文)" w:cs="等线(中文正文)" w:eastAsia="等线(中文正文)"/>
          <w:b w:val="false"/>
          <w:i w:val="false"/>
          <w:sz w:val="20"/>
        </w:rPr>
        <w:t>其他基金方面利贷投资基金全年净流入480亿个，主要的增量还是来自于商品型基金。可能是受到贵金属行情的推动，实现了较大幅度的增长。伊利基金全年净流入2000 2328亿份，可能也受到海外权益市场的强劲的表现的一个推波助澜。其他包括像forth以及race基金，都有在这个份额的变化情况方面，都有相对而言比较好的表现。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07:54</w:t>
      </w:r>
    </w:p>
    <w:p>
      <w:r>
        <w:rPr>
          <w:rFonts w:ascii="等线(中文正文)" w:hAnsi="等线(中文正文)" w:cs="等线(中文正文)" w:eastAsia="等线(中文正文)"/>
          <w:b w:val="false"/>
          <w:i w:val="false"/>
          <w:sz w:val="20"/>
        </w:rPr>
        <w:t>第二块我们聚焦一下在整个公积金产品的盈利表现方面。2025年是公募基金行业难得的一个盈利盘。全市场所有的公司产品合计实现净利润达到了2.6万亿元，比同比世界第三倍。也是彻底扭转了2022年以来的行业整体亏损的一个局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08:35</w:t>
      </w:r>
    </w:p>
    <w:p>
      <w:r>
        <w:rPr>
          <w:rFonts w:ascii="等线(中文正文)" w:hAnsi="等线(中文正文)" w:cs="等线(中文正文)" w:eastAsia="等线(中文正文)"/>
          <w:b w:val="false"/>
          <w:i w:val="false"/>
          <w:sz w:val="20"/>
        </w:rPr>
        <w:t>如果从这个利润结构来看权益型基金可能无疑了是2025年基金行业净利润上涨一个主要的绝对主力。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08:54</w:t>
      </w:r>
    </w:p>
    <w:p>
      <w:r>
        <w:rPr>
          <w:rFonts w:ascii="等线(中文正文)" w:hAnsi="等线(中文正文)" w:cs="等线(中文正文)" w:eastAsia="等线(中文正文)"/>
          <w:b w:val="false"/>
          <w:i w:val="false"/>
          <w:sz w:val="20"/>
        </w:rPr>
        <w:t>尤其是这个被动指数基金贡献了81.5%的利润。在这个市场的上涨周期中，工具化的产品还是体现出了比较显著的收益弹性。混合型基金全年净利润达到了8723亿元，其中偏股混合型基金贡献了6148亿元，占比超七成。灵活配置型基金也实现了显著盈利。相对而言，平衡混合型基金、偏债混合型基金的利润贡献相对有限。那么从权益基金的这个利润表现也可以观察到，就是说2025年表现出说所谓的权益仓位越高利润弹性越强的一个特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09:44</w:t>
      </w:r>
    </w:p>
    <w:p>
      <w:r>
        <w:rPr>
          <w:rFonts w:ascii="等线(中文正文)" w:hAnsi="等线(中文正文)" w:cs="等线(中文正文)" w:eastAsia="等线(中文正文)"/>
          <w:b w:val="false"/>
          <w:i w:val="false"/>
          <w:sz w:val="20"/>
        </w:rPr>
        <w:t>债券型基金方面，2025年整体的净利润较2024年出现了较大幅度的下滑。但是含全量比较高的那这一类的固收加产品的盈盈利表现仍然相对突出。像这个混合债券型的二级基金，包括可转债基金，净利润同比都实现了较大幅度的增长。整体体现出了在股强债弱的一个背景下吧，固收加的产品相对于纯债产品而言，具备更加良好的一个配置性价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10:28</w:t>
      </w:r>
    </w:p>
    <w:p>
      <w:r>
        <w:rPr>
          <w:rFonts w:ascii="等线(中文正文)" w:hAnsi="等线(中文正文)" w:cs="等线(中文正文)" w:eastAsia="等线(中文正文)"/>
          <w:b w:val="false"/>
          <w:i w:val="false"/>
          <w:sz w:val="20"/>
        </w:rPr>
        <w:t>货币型基金方面，2025年宏观利率下行的背景下，货币基金的收益有所压低，但是仍然保持相对稳定。2025年全市场货币型基金产品的合计净利润是1844亿元，同比下降19%。虽然有所回落，但是还是维持在了比较高的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10:54</w:t>
      </w:r>
    </w:p>
    <w:p>
      <w:r>
        <w:rPr>
          <w:rFonts w:ascii="等线(中文正文)" w:hAnsi="等线(中文正文)" w:cs="等线(中文正文)" w:eastAsia="等线(中文正文)"/>
          <w:b w:val="false"/>
          <w:i w:val="false"/>
          <w:sz w:val="20"/>
        </w:rPr>
        <w:t>其他基金方面，各类型的基金的盈利表现和前面所说的这个规模整体的走势大大致相近。那么可能主要的趋势还是体现在这个贵金属市场行情的上行。对于商品基金类投资基金的一个推动作用，以及还有QD基金的推动作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11:44</w:t>
      </w:r>
    </w:p>
    <w:p>
      <w:r>
        <w:rPr>
          <w:rFonts w:ascii="等线(中文正文)" w:hAnsi="等线(中文正文)" w:cs="等线(中文正文)" w:eastAsia="等线(中文正文)"/>
          <w:b w:val="false"/>
          <w:i w:val="false"/>
          <w:sz w:val="20"/>
        </w:rPr>
        <w:t>第三块，如果从主动和被动的角度来看，2025年被动产品依然延续了这样的一个扩张趋势。其实在2024年三季度的时候，整个被动基金的持有A股市值已经超过了主动基金。那么2025年二者的差距实际上是进一步拉大的。到达2025年末的时候，被动基金持有的市值达到了4.27万亿元。那么主动基金可能仍然是有这个3.2 1万元，也体现出的话还是一个被动产品持续的呈现爆发的一个趋势。逐渐的也是成为了投资者参与资本市场的一个比较重要的载体。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12:35</w:t>
      </w:r>
    </w:p>
    <w:p>
      <w:r>
        <w:rPr>
          <w:rFonts w:ascii="等线(中文正文)" w:hAnsi="等线(中文正文)" w:cs="等线(中文正文)" w:eastAsia="等线(中文正文)"/>
          <w:b w:val="false"/>
          <w:i w:val="false"/>
          <w:sz w:val="20"/>
        </w:rPr>
        <w:t>2019年以来，国内的各类指数型基金的规模都实现快速的增长。截至2025年末，股票型的被动指数基金规模达到4.7万亿元，占权益类产品规模的51%。债券类指数基金规模达到1.8万亿元，占债券类产品规模的16%。截至25 2025年末，市场上的这个指数型基金还是主要以权益型为主。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13:15</w:t>
      </w:r>
    </w:p>
    <w:p>
      <w:r>
        <w:rPr>
          <w:rFonts w:ascii="等线(中文正文)" w:hAnsi="等线(中文正文)" w:cs="等线(中文正文)" w:eastAsia="等线(中文正文)"/>
          <w:b w:val="false"/>
          <w:i w:val="false"/>
          <w:sz w:val="20"/>
        </w:rPr>
        <w:t>伴随着规模的迅速上涨，这个被动产品包括ETF基金的品类也是不断的丰富。除了宽基指数之外，还是出现了比较多的行业主题，smart beta等等。这样的多样化的一些etf产品，满足了投资者的不同的需求和风险偏好。同时etf也受到政策的支持和推动，像创业板、沪深港通及msci纳瑞谷等等的利好消息，也是比较好的提升了etf市场影响力和吸引力。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14:05</w:t>
      </w:r>
    </w:p>
    <w:p>
      <w:r>
        <w:rPr>
          <w:rFonts w:ascii="等线(中文正文)" w:hAnsi="等线(中文正文)" w:cs="等线(中文正文)" w:eastAsia="等线(中文正文)"/>
          <w:b w:val="false"/>
          <w:i w:val="false"/>
          <w:sz w:val="20"/>
        </w:rPr>
        <w:t>第二部分我们主要聚焦在公积金管理人的经营情况方面，整体体现出来一个大趋势。虽然说各家公司的发展路径和发展方式会有所不同，但是行业整体的启动度仍然保持在一个较高的位置。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14:33</w:t>
      </w:r>
    </w:p>
    <w:p>
      <w:r>
        <w:rPr>
          <w:rFonts w:ascii="等线(中文正文)" w:hAnsi="等线(中文正文)" w:cs="等线(中文正文)" w:eastAsia="等线(中文正文)"/>
          <w:b w:val="false"/>
          <w:i w:val="false"/>
          <w:sz w:val="20"/>
        </w:rPr>
        <w:t>首先从这个盈利方面来看，根据万德统计，一共是有68家公募基金公司，也或者说有公牌照的券商资管，披露了2024年和2025年经营情况。2025年这68家样本公司的合计营收同比增长13%，合计的净利润是同也是同比增长了13%。在股市活跃的一个背景下，各家基金公司之间的经营情况仍然存在较大的分化。68家公募基金管理人中有51家公司实现了净利润的增长或者扭亏为盈。头部基金公司可能因为这个产品结构多元的一个趋势，在行业消费的大背景下，整体仍然保持了较为稳定的一个经经营结果。前五家公司中，规就管理规模排名前五的公募基金公司中，易方达虽然说2025年净利润小幅下滑，但是仍然位居行业第一。通义微信和广发的净利润同比增速超过30%。按南方和华夏的同比增速。则超过10%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16:06</w:t>
      </w:r>
    </w:p>
    <w:p>
      <w:r>
        <w:rPr>
          <w:rFonts w:ascii="等线(中文正文)" w:hAnsi="等线(中文正文)" w:cs="等线(中文正文)" w:eastAsia="等线(中文正文)"/>
          <w:b w:val="false"/>
          <w:i w:val="false"/>
          <w:sz w:val="20"/>
        </w:rPr>
        <w:t>从营收以及利润的角度来看，公募基金行业的集中度仍然保持一个较高的位置。营收的CR5和CR10分别达到34%和56%，净利润的CR5和CR10分别也是保持在相同的水平。我从2021年到2025年，整个公募基金管理人的营收以及净利润趋势还是呈现一个小幅抬升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16:44</w:t>
      </w:r>
    </w:p>
    <w:p>
      <w:r>
        <w:rPr>
          <w:rFonts w:ascii="等线(中文正文)" w:hAnsi="等线(中文正文)" w:cs="等线(中文正文)" w:eastAsia="等线(中文正文)"/>
          <w:b w:val="false"/>
          <w:i w:val="false"/>
          <w:sz w:val="20"/>
        </w:rPr>
        <w:t>从各家的战略或者说增长路径来看，其实还是存在着相对而言比较大的差异。由此也形成了不同的公基金公司的发展范式。首先像头部公司本身可能具有相对而言比较完善的产品矩阵和渠道。所以说这个资产管理规模持续的领跑市场。依托自身的这个均衡的布局相对而言能够实现一个各类型产品齐头并进的一个发展趋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17:26</w:t>
      </w:r>
    </w:p>
    <w:p>
      <w:r>
        <w:rPr>
          <w:rFonts w:ascii="等线(中文正文)" w:hAnsi="等线(中文正文)" w:cs="等线(中文正文)" w:eastAsia="等线(中文正文)"/>
          <w:b w:val="false"/>
          <w:i w:val="false"/>
          <w:sz w:val="20"/>
        </w:rPr>
        <w:t>第二，可能会有部分的中小公司会重点去加码权益基金。比如说这个永赢基金。2025年的股票型基金和混合型基金的规模分别同比增长416%和364%。除了在这个etf发力之外，我们预计可能因为基金的主动权益基金也是真的是实现了较大幅度增长，可能体现出了公司在主动管理能力方面的核心竞争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18:03</w:t>
      </w:r>
    </w:p>
    <w:p>
      <w:r>
        <w:rPr>
          <w:rFonts w:ascii="等线(中文正文)" w:hAnsi="等线(中文正文)" w:cs="等线(中文正文)" w:eastAsia="等线(中文正文)"/>
          <w:b w:val="false"/>
          <w:i w:val="false"/>
          <w:sz w:val="20"/>
        </w:rPr>
        <w:t>当然在这个债券型基金方面，海富通基金和景顺长城基金的管理规模相对而言增速。我们认为可能主要得益于这个固收加产品的产品发力。尤其是像这个景顺长基金，2025年旗下的二级债基管理规模突破了一千巨额百亿，位居全行业首位，全年新增规模超过了1500亿。其次在这个QD产品方面，华夏和叶康达的QD规模分别达到了1531亿和1491亿，增速分别为55%和49%，反映出了机构和个人投资者的全球化配置需求在快速释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18:56</w:t>
      </w:r>
    </w:p>
    <w:p>
      <w:r>
        <w:rPr>
          <w:rFonts w:ascii="等线(中文正文)" w:hAnsi="等线(中文正文)" w:cs="等线(中文正文)" w:eastAsia="等线(中文正文)"/>
          <w:b w:val="false"/>
          <w:i w:val="false"/>
          <w:sz w:val="20"/>
        </w:rPr>
        <w:t>我们etf方面，各家规模呈现出了各家基金的这个etf规模呈现出了普遍的爆发式的增长。在资产管理规模排名前十的机构中，除了易方达和华夏之外，其余的硅其余的机构2025年的etf规模增速都超过50%。那么部分的中信机构可由于一些低基数的原因，etf规模的增速也会突出。比如说中银基金和兴业基金e tf规模的同比增速都超过了1%千。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19:45</w:t>
      </w:r>
    </w:p>
    <w:p>
      <w:r>
        <w:rPr>
          <w:rFonts w:ascii="等线(中文正文)" w:hAnsi="等线(中文正文)" w:cs="等线(中文正文)" w:eastAsia="等线(中文正文)"/>
          <w:b w:val="false"/>
          <w:i w:val="false"/>
          <w:sz w:val="20"/>
        </w:rPr>
        <w:t>同样的从管理规模的角度而言，公积金行业头部效应依然相对而言比较集中，和已经收和净利润的情况是相同的。整体而言，表从这个管理规模层面来看，呈现出了两大趋势。第一是2021年以来，权益基金的AM的集中度是持续抬升。那么大型机构一方面在投研渠道以及品牌方面具备较大的优势，可能更利于持续的去吸纳大量资金。另外一方面在监管的长期资金入市，包括公积金机构化趋势深化的这样一系列的背景下，以社保养老金为代表的一系列的我的长期资金可能更倾向于把资金向一些头部的公共平台去进行集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20:50</w:t>
      </w:r>
    </w:p>
    <w:p>
      <w:r>
        <w:rPr>
          <w:rFonts w:ascii="等线(中文正文)" w:hAnsi="等线(中文正文)" w:cs="等线(中文正文)" w:eastAsia="等线(中文正文)"/>
          <w:b w:val="false"/>
          <w:i w:val="false"/>
          <w:sz w:val="20"/>
        </w:rPr>
        <w:t>第二大趋势就是说ETF的管理规模集中度远远超过所有经营产品的整体的一些情况。中小机构边缘化的这个情况是越来越严重。我们认为的主要的原因包括像这个呃头部机构可能更好的去更容易的去通过规模越大从而导致流动性越好，从而导致机构加速配置的这样的一个正向循环，去实现自己的优势进一步的扩大。另外一方面，就是说etf产品，而相对于其他的这个产品而言，机构配置的比例可能会更高一些。那么机构资金可能就会优先的选择一些规模更大，或者要运作更加成熟的一些客服产品。从而导致这个资金进一步的去向投资机构以及一些和同步的产品去进行集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22:03</w:t>
      </w:r>
    </w:p>
    <w:p>
      <w:r>
        <w:rPr>
          <w:rFonts w:ascii="等线(中文正文)" w:hAnsi="等线(中文正文)" w:cs="等线(中文正文)" w:eastAsia="等线(中文正文)"/>
          <w:b w:val="false"/>
          <w:i w:val="false"/>
          <w:sz w:val="20"/>
        </w:rPr>
        <w:t>从前五十大的这个公积金管理人的管理情况来看，产品布局分化相对而言比较清晰。头部机构可能更加倾向于去呈现一个全品类均衡发展的一个情况。那么中小机构则更加单更加去依赖单一品类的基金产品。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22:30</w:t>
      </w:r>
    </w:p>
    <w:p>
      <w:r>
        <w:rPr>
          <w:rFonts w:ascii="等线(中文正文)" w:hAnsi="等线(中文正文)" w:cs="等线(中文正文)" w:eastAsia="等线(中文正文)"/>
          <w:b w:val="false"/>
          <w:i w:val="false"/>
          <w:sz w:val="20"/>
        </w:rPr>
        <w:t>从投向结构来看，货币基金仍然是全行业布局的第一大品类。债券基金紧随其后，占比达到27%。其中像中加基金、国联安基金以及海富通的机构这样一类以固收业为特色的机构而言，债券基金占比可能会超过60%。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22:57</w:t>
      </w:r>
    </w:p>
    <w:p>
      <w:r>
        <w:rPr>
          <w:rFonts w:ascii="等线(中文正文)" w:hAnsi="等线(中文正文)" w:cs="等线(中文正文)" w:eastAsia="等线(中文正文)"/>
          <w:b w:val="false"/>
          <w:i w:val="false"/>
          <w:sz w:val="20"/>
        </w:rPr>
        <w:t>权益基金方面的股票和混合基金的合计占比是全行业是27%，但是却是头部机构拉开差距距的关键。像华夏、易方达以及中国的投资机构，股票型基金的占比都在20%以上。那么QD fof等特色产品品类，目前的核心占比不足5%。但是部分的机构已经形成了差异化优势。比如说摩根金和大成基金的QD占比已经接近10%，我们衷心的race占比也达到12%，成为了国家机构特色业务的一个比较好的补充。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23:39</w:t>
      </w:r>
    </w:p>
    <w:p>
      <w:r>
        <w:rPr>
          <w:rFonts w:ascii="等线(中文正文)" w:hAnsi="等线(中文正文)" w:cs="等线(中文正文)" w:eastAsia="等线(中文正文)"/>
          <w:b w:val="false"/>
          <w:i w:val="false"/>
          <w:sz w:val="20"/>
        </w:rPr>
        <w:t>第二点，从运作形态来看，场外的普通开放式基金仍然是行业主流，是绝大多数基金的基本业务的基本盘。DF基金占比18%，呈现出了较高的头部集中特征。部分以这个被动指数为特色的机构，像好莱博瑞，可能etf的占比会超过会达到一个比较高的一个水平。对于多数的中小机构而言，目前在ETF的这个管理规模占比不足5%。甚至有些机构可能压根就没有在这一方面去进行布局。这一类公民产品布局了之后，也可能成为中小部分的中小机构后续规模增长的一个短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24:38</w:t>
      </w:r>
    </w:p>
    <w:p>
      <w:r>
        <w:rPr>
          <w:rFonts w:ascii="等线(中文正文)" w:hAnsi="等线(中文正文)" w:cs="等线(中文正文)" w:eastAsia="等线(中文正文)"/>
          <w:b w:val="false"/>
          <w:i w:val="false"/>
          <w:sz w:val="20"/>
        </w:rPr>
        <w:t>第三块从这个产品的收益情况，请关注公众号思维纪要社，更多纪要请加V西安2021013020。2025年公募基金产品整体的净收益率是大幅提升，为投资者创造了可观的好的盈利可能。主要是受益于行情回暖带来的贝塔收益。前文所述的这个样本基金管理人的经营情况来看，除了这个先锋基金净收率为负，共计有118家机构实现了净收益率也同比提升，占这个披露数据机构的比重是82%。</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25:33</w:t>
      </w:r>
    </w:p>
    <w:p>
      <w:r>
        <w:rPr>
          <w:rFonts w:ascii="等线(中文正文)" w:hAnsi="等线(中文正文)" w:cs="等线(中文正文)" w:eastAsia="等线(中文正文)"/>
          <w:b w:val="false"/>
          <w:i w:val="false"/>
          <w:sz w:val="20"/>
        </w:rPr>
        <w:t>投资机构方面，易方达、华夏国等基金公司的净收率分别是都达到了一个较至24年的翻倍的一个状态。部分中小机构像博道基金、睿远基金，得益于可能较高的权益基金的占比，展现了其自身在这个权益市场上行环境下的一个良好收益兑现的一个优势。与之相对的，以货币型基金或者是固收基金为特色的一些机构，比如说天弘基金或者说招商基金可能受影响，负面影响会较大一点，净值收益率可能也相对偏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26:28</w:t>
      </w:r>
    </w:p>
    <w:p>
      <w:r>
        <w:rPr>
          <w:rFonts w:ascii="等线(中文正文)" w:hAnsi="等线(中文正文)" w:cs="等线(中文正文)" w:eastAsia="等线(中文正文)"/>
          <w:b w:val="false"/>
          <w:i w:val="false"/>
          <w:sz w:val="20"/>
        </w:rPr>
        <w:t>第三块，我们主要是梳理一下近年来持续落地的一些公募基金行业的一些顶层的配套的改革政策。整体而言过去几年的公积金的改革的脉络主要还是比较统一。总体而言就是说弱化规模相关的考核。我们进一步去强投资者的长期回报，把投资者的把这个基金管理人的长期业绩作为一个主要的一个参考标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27:12</w:t>
      </w:r>
    </w:p>
    <w:p>
      <w:r>
        <w:rPr>
          <w:rFonts w:ascii="等线(中文正文)" w:hAnsi="等线(中文正文)" w:cs="等线(中文正文)" w:eastAsia="等线(中文正文)"/>
          <w:b w:val="false"/>
          <w:i w:val="false"/>
          <w:sz w:val="20"/>
        </w:rPr>
        <w:t>一项核心政策就是公积金费率改革的有三步走。从2023年到2025年，整体的这个三阶段改革已经全部落地完成，全行业每年合计为投资者消费500亿元。这三步改革是完整的覆盖了管理费、交易佣金以及销售费用全链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27:39</w:t>
      </w:r>
    </w:p>
    <w:p>
      <w:r>
        <w:rPr>
          <w:rFonts w:ascii="等线(中文正文)" w:hAnsi="等线(中文正文)" w:cs="等线(中文正文)" w:eastAsia="等线(中文正文)"/>
          <w:b w:val="false"/>
          <w:i w:val="false"/>
          <w:sz w:val="20"/>
        </w:rPr>
        <w:t>第一阶段是2023年，聚焦基础的一些运作费用，包括主动基金的管理费及话费的下调，以及etf管理费的大幅的下降。12。成本，包括交易佣金以及渠道佣金的分配。2025年是第三阶段，主要是落地销售端全面降费，我优化一些赎回费的一些规则。</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28:20</w:t>
      </w:r>
    </w:p>
    <w:p>
      <w:r>
        <w:rPr>
          <w:rFonts w:ascii="等线(中文正文)" w:hAnsi="等线(中文正文)" w:cs="等线(中文正文)" w:eastAsia="等线(中文正文)"/>
          <w:b w:val="false"/>
          <w:i w:val="false"/>
          <w:sz w:val="20"/>
        </w:rPr>
        <w:t>从效果来看，整体而言，这个改革的效果还是比较显著的。可以说较好的实现了一个让你长期投资者的一个目的。2025年行业平均的管理费只有0.38%，就是高点下降0.19个百分点。同时可以观察到最近几年这个倍率下行的降幅是逐步收敛。比如说降费政策对于基金公司利润的短期的一个冲击，已经基本出清了。我们也可以预计就是说呃行业已经正式的从过去的规模驱动，完成了向业绩驱动转向的一个全新的一个发展模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29:21</w:t>
      </w:r>
    </w:p>
    <w:p>
      <w:r>
        <w:rPr>
          <w:rFonts w:ascii="等线(中文正文)" w:hAnsi="等线(中文正文)" w:cs="等线(中文正文)" w:eastAsia="等线(中文正文)"/>
          <w:b w:val="false"/>
          <w:i w:val="false"/>
          <w:sz w:val="20"/>
        </w:rPr>
        <w:t>第二个主要政策，就是2025年证监会印发的这个推动公募基金高质量发展行动方案。主要是落实新国九条相关的要求。整个方案的包含25条细化的举措，主要是纸机行业过去可能重规模期收益的这样一个主要一个痛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29:47</w:t>
      </w:r>
    </w:p>
    <w:p>
      <w:r>
        <w:rPr>
          <w:rFonts w:ascii="等线(中文正文)" w:hAnsi="等线(中文正文)" w:cs="等线(中文正文)" w:eastAsia="等线(中文正文)"/>
          <w:b w:val="false"/>
          <w:i w:val="false"/>
          <w:sz w:val="20"/>
        </w:rPr>
        <w:t>首先这个方案推行唯一基准挂钩的普通管理费的模式，主要是针对这个自动权益基金产品。如果是明显跑输基准的话，就需要去少数少数去。其次方案重点重塑了全行业的一个考核体系，去降低管理规模以及公司营收利润在这个考核中的权重，把长期投资收益作为核心的考核指标。同时，方案也在鼓励去进一步做大权益基金的管理规模。去丰富权益产品的供给。最后也是完善了投资者的一个配套服务，加速基金投顾业务的规范落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30:41</w:t>
      </w:r>
    </w:p>
    <w:p>
      <w:r>
        <w:rPr>
          <w:rFonts w:ascii="等线(中文正文)" w:hAnsi="等线(中文正文)" w:cs="等线(中文正文)" w:eastAsia="等线(中文正文)"/>
          <w:b w:val="false"/>
          <w:i w:val="false"/>
          <w:sz w:val="20"/>
        </w:rPr>
        <w:t>第三块政策是这个业绩比较基准的一个征求意见。那是证监会在2025年10月底发布的。主要目的还是去进一步夯实整个公积金行业长期化改革的一个基础。我们根据指引，基金业绩比较基准，必须去结合这个产品的定位和投资风格。基准如果选定之后，就是不能随意更改，也不能根据市场热点去做漂移。同时这个征求意见也明确，就是说基金公司内部的薪酬考核必须和这个收益是否跑赢基准去做进一步的深度绑定。如果对于主动权益基金而言，如果长期显著的跑出基准的话，那相应的这个呃绩效以及薪酬就需要去进行大幅的下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31:49</w:t>
      </w:r>
    </w:p>
    <w:p>
      <w:r>
        <w:rPr>
          <w:rFonts w:ascii="等线(中文正文)" w:hAnsi="等线(中文正文)" w:cs="等线(中文正文)" w:eastAsia="等线(中文正文)"/>
          <w:b w:val="false"/>
          <w:i w:val="false"/>
          <w:sz w:val="20"/>
        </w:rPr>
        <w:t>第四块是11 2025年11月发布的这个绩效管理考核之一。和前述的一些意见还是在监管脉络上还是一脉相承。主要是从系统结构以及这个长效的一些问责机制方面，对于全行业的基金公司的考核体系作出了约束。新规出台之后，短期规模的考核指标的权重大幅的下降。三年以及五年的长期收益成为了长比较核心的一个考核标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32:31</w:t>
      </w:r>
    </w:p>
    <w:p>
      <w:r>
        <w:rPr>
          <w:rFonts w:ascii="等线(中文正文)" w:hAnsi="等线(中文正文)" w:cs="等线(中文正文)" w:eastAsia="等线(中文正文)"/>
          <w:b w:val="false"/>
          <w:i w:val="false"/>
          <w:sz w:val="20"/>
        </w:rPr>
        <w:t>最后落实到投资建议上的话，我们认为在目前这个公积金行业持续发展向好的一个趋势下，如果从这个券商或者说财富管理的这个板块来看，可能可以关注这个3.4主线。第一条是自身具备较强财富管理特色的一些券商。包括像比如说持有头部公募基金股权比例较高，或者说基金的能力业务突相对突出的这样的一些中大型的券商，可能能够充分的在这个公募行业扩容的一个趋势下去分享和这个公司的利润增长的一个红利。从这一条主线来看的话，主要是推荐广发证券、兴业证券、东方证券以及海通证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33:27</w:t>
      </w:r>
    </w:p>
    <w:p>
      <w:r>
        <w:rPr>
          <w:rFonts w:ascii="等线(中文正文)" w:hAnsi="等线(中文正文)" w:cs="等线(中文正文)" w:eastAsia="等线(中文正文)"/>
          <w:b w:val="false"/>
          <w:i w:val="false"/>
          <w:sz w:val="20"/>
        </w:rPr>
        <w:t>第二条主线还是综合实力相对而言比较领先的头部券商。相对而言，头部券商相较于中小型的券商，有更加雄厚的资本实力，以及线上线下的一些渠道。在这个公积金代销机构服务，包括研究配套这些领域，都有相对而言不可替代的这样一些综合优势。无疑可以全方位的受益于这个行业整体的扩容。这条线索下推荐中信证券、国泰、海通以及华泰证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34:10</w:t>
      </w:r>
    </w:p>
    <w:p>
      <w:r>
        <w:rPr>
          <w:rFonts w:ascii="等线(中文正文)" w:hAnsi="等线(中文正文)" w:cs="等线(中文正文)" w:eastAsia="等线(中文正文)"/>
          <w:b w:val="false"/>
          <w:i w:val="false"/>
          <w:sz w:val="20"/>
        </w:rPr>
        <w:t>第三条主线是互联网券商和金融信息服务商。可能主要依托线上平台天然的一些流量的优势，可以相对而言精准的去触达一些零售，一些长尾客户。轻资产的一个经营模式相对而言也可以带来更高的一些弹性。这一条线索下我们主要推荐东方财富、同花顺以及指南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34:41</w:t>
      </w:r>
    </w:p>
    <w:p>
      <w:r>
        <w:rPr>
          <w:rFonts w:ascii="等线(中文正文)" w:hAnsi="等线(中文正文)" w:cs="等线(中文正文)" w:eastAsia="等线(中文正文)"/>
          <w:b w:val="false"/>
          <w:i w:val="false"/>
          <w:sz w:val="20"/>
        </w:rPr>
        <w:t>好，以上就是本年报告的一些全部的内容。如果各位投资者有进一步的交流需求化，也欢迎去联系对口的销售，或者直接联系中国配音团队。今天晚上的分享就到此结束，谢谢各位投资者参与。</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2026-08-16T14:41:03Z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E6636BB100BBAFBB4581D91E6DDB8204A371BE8C93FDD1A82A2D463F47DFE55A9E0B9DEC4B55EDD4A816E759531F40D3546194C31F5B28365F8CAC765602CE4ACD32F35</vt:lpwstr>
  </property>
</Properties>
</file>