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东吴非银 - 非银投资全景系列06期：公募基金发展观察：盈利能力大幅提升，行业集中度维持高位 260816_导读</w:t>
      </w:r>
    </w:p>
    <w:p>
      <w:pPr>
        <w:pStyle w:val="a0"/>
        <w:jc w:val="center"/>
      </w:pPr>
      <w:r>
        <w:t>2026年08月16日 22:39</w:t>
      </w:r>
    </w:p>
    <w:p>
      <w:pPr>
        <w:pStyle w:val="a7"/>
      </w:pPr>
      <w:r>
        <w:t>关键词</w:t>
      </w:r>
    </w:p>
    <w:p>
      <w:r>
        <w:rPr>
          <w:rFonts w:ascii="等线(中文正文)" w:hAnsi="等线(中文正文)" w:cs="等线(中文正文)" w:eastAsia="等线(中文正文)"/>
          <w:b w:val="false"/>
          <w:i w:val="false"/>
          <w:sz w:val="20"/>
        </w:rPr>
        <w:t xml:space="preserve">公积金行业 公募基金 权益类基金 etf 债券型基金 货币型基金 规模增长 盈利水平 头部效应 基金管理人 投资机会 政策改革 产品布局 全球资产配置 固收加产品 权益基金 头部机构 华夏 易方达 ETF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东吴证券的非银分析师分享公积金行业深度报告，预测2025年公积金行业将全面回暖，公募基金总规模达37.7万亿元，权益类基金增速最快，同比增15%，带动行业净利润超2.6万亿元。报告指出，市场投资机会聚焦在权益类基金和ETF等被动投资产品上，同时，基金管理人业绩分化，头部机构稳固。政策趋向从规模驱动转向业绩驱动，强化长期回报考核。报告建议关注具有财富管理特色、综合实力领先的券商，以及互联网券商和金融信息服务商的发展机会。</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2025年公积金行业全面回暖及投资机会分析</w:t>
      </w:r>
    </w:p>
    <w:p>
      <w:r>
        <w:rPr>
          <w:rFonts w:ascii="等线(中文正文)" w:hAnsi="等线(中文正文)" w:cs="等线(中文正文)" w:eastAsia="等线(中文正文)"/>
          <w:b w:val="false"/>
          <w:i w:val="false"/>
          <w:sz w:val="20"/>
        </w:rPr>
        <w:t>分享了公积金行业2025年运行全貌，指出行业全面回暖，公募基金市场创历史新高，权益类基金为主要驱动力。全市场基金产品盈利水平平均翻倍，ETF被动投资产品爆发式扩张。基金管理人经营业绩分化，头部格局稳固，各机构依托资源禀赋发展特色路径。全行业基金产品收益率实现较大修复。</w:t>
      </w:r>
    </w:p>
    <w:p>
      <w:r>
        <w:rPr>
          <w:rFonts w:ascii="等线(中文正文)" w:hAnsi="等线(中文正文)" w:cs="等线(中文正文)" w:eastAsia="等线(中文正文)"/>
          <w:b w:val="false"/>
          <w:i w:val="false"/>
          <w:sz w:val="20"/>
        </w:rPr>
        <w:t/>
      </w:r>
    </w:p>
    <w:p>
      <w:pPr>
        <w:pStyle w:val="ab"/>
        <w:numPr>
          <w:numId w:val="2"/>
        </w:numPr>
      </w:pPr>
      <w:r>
        <w:t>01:36 2025年公募基金市场全面回暖，权益类基金领跑</w:t>
      </w:r>
    </w:p>
    <w:p>
      <w:r>
        <w:rPr>
          <w:rFonts w:ascii="等线(中文正文)" w:hAnsi="等线(中文正文)" w:cs="等线(中文正文)" w:eastAsia="等线(中文正文)"/>
          <w:b w:val="false"/>
          <w:i w:val="false"/>
          <w:sz w:val="20"/>
        </w:rPr>
        <w:t>2025年，公募基金市场整体规模达到37.7万亿元，同比增长约15%，其中股票型与混合型基金增速领先，权益类基金新发规模大幅回暖，指数及指数增强产品表现尤为突出。债券型基金发行规模占比下滑，全年增长平稳，反映出居民理财需求向权益市场转移的趋势。</w:t>
      </w:r>
    </w:p>
    <w:p>
      <w:r>
        <w:rPr>
          <w:rFonts w:ascii="等线(中文正文)" w:hAnsi="等线(中文正文)" w:cs="等线(中文正文)" w:eastAsia="等线(中文正文)"/>
          <w:b w:val="false"/>
          <w:i w:val="false"/>
          <w:sz w:val="20"/>
        </w:rPr>
        <w:t/>
      </w:r>
    </w:p>
    <w:p>
      <w:pPr>
        <w:pStyle w:val="ab"/>
        <w:numPr>
          <w:numId w:val="3"/>
        </w:numPr>
      </w:pPr>
      <w:r>
        <w:t>04:51 2025年基金市场分析：权益与固收产品分化</w:t>
      </w:r>
    </w:p>
    <w:p>
      <w:r>
        <w:rPr>
          <w:rFonts w:ascii="等线(中文正文)" w:hAnsi="等线(中文正文)" w:cs="等线(中文正文)" w:eastAsia="等线(中文正文)"/>
          <w:b w:val="false"/>
          <w:i w:val="false"/>
          <w:sz w:val="20"/>
        </w:rPr>
        <w:t>2025年，股东权益基金和混合型基金份额减少，反映投资者对主动管理产品信心不足。债券型基金中，纯债基金净流出，而含权益的固收加产品逆势流入，显示利率下行周期中投资者偏好。货币基金因固收类产品收益下行，份额大幅攀升，成为市场增长主要来源。商品型基金和海外权益市场表现推动其他基金类别增长。</w:t>
      </w:r>
    </w:p>
    <w:p>
      <w:r>
        <w:rPr>
          <w:rFonts w:ascii="等线(中文正文)" w:hAnsi="等线(中文正文)" w:cs="等线(中文正文)" w:eastAsia="等线(中文正文)"/>
          <w:b w:val="false"/>
          <w:i w:val="false"/>
          <w:sz w:val="20"/>
        </w:rPr>
        <w:t/>
      </w:r>
    </w:p>
    <w:p>
      <w:pPr>
        <w:pStyle w:val="ab"/>
        <w:numPr>
          <w:numId w:val="4"/>
        </w:numPr>
      </w:pPr>
      <w:r>
        <w:t>07:46 2025年公募基金行业盈利状况分析</w:t>
      </w:r>
    </w:p>
    <w:p>
      <w:r>
        <w:rPr>
          <w:rFonts w:ascii="等线(中文正文)" w:hAnsi="等线(中文正文)" w:cs="等线(中文正文)" w:eastAsia="等线(中文正文)"/>
          <w:b w:val="false"/>
          <w:i w:val="false"/>
          <w:sz w:val="20"/>
        </w:rPr>
        <w:t>2025年公募基金行业实现净利润2.6万亿元，同比大幅增长，扭转了2022年以来的亏损局面。权益型基金，特别是被动指数基金，贡献了大部分利润，展现出高权益仓位的利润弹性。混合型基金中，偏股混合型基金表现突出。债券型基金整体净利润下滑，但固收加产品如混合债券型二级基金和可转债基金盈利增长。货币型基金收益受利率下行影响，但净利润仍维持在较高水平。商品基金和QD基金受市场行情推动，表现良好。</w:t>
      </w:r>
    </w:p>
    <w:p>
      <w:r>
        <w:rPr>
          <w:rFonts w:ascii="等线(中文正文)" w:hAnsi="等线(中文正文)" w:cs="等线(中文正文)" w:eastAsia="等线(中文正文)"/>
          <w:b w:val="false"/>
          <w:i w:val="false"/>
          <w:sz w:val="20"/>
        </w:rPr>
        <w:t/>
      </w:r>
    </w:p>
    <w:p>
      <w:pPr>
        <w:pStyle w:val="ab"/>
        <w:numPr>
          <w:numId w:val="5"/>
        </w:numPr>
      </w:pPr>
      <w:r>
        <w:t>11:29 2025年被动基金市场分析及公积金管理人经营情况</w:t>
      </w:r>
    </w:p>
    <w:p>
      <w:r>
        <w:rPr>
          <w:rFonts w:ascii="等线(中文正文)" w:hAnsi="等线(中文正文)" w:cs="等线(中文正文)" w:eastAsia="等线(中文正文)"/>
          <w:b w:val="false"/>
          <w:i w:val="false"/>
          <w:sz w:val="20"/>
        </w:rPr>
        <w:t>2025年被动基金持续扩张，持有A股市值超过主动基金，规模达4.27万亿元，占权益类产品51%。ETF基金多样化发展，受政策支持，提升市场影响力。公积金管理人行业启动度高，各公司发展路径不同。</w:t>
      </w:r>
    </w:p>
    <w:p>
      <w:r>
        <w:rPr>
          <w:rFonts w:ascii="等线(中文正文)" w:hAnsi="等线(中文正文)" w:cs="等线(中文正文)" w:eastAsia="等线(中文正文)"/>
          <w:b w:val="false"/>
          <w:i w:val="false"/>
          <w:sz w:val="20"/>
        </w:rPr>
        <w:t/>
      </w:r>
    </w:p>
    <w:p>
      <w:pPr>
        <w:pStyle w:val="ab"/>
        <w:numPr>
          <w:numId w:val="6"/>
        </w:numPr>
      </w:pPr>
      <w:r>
        <w:t>14:25 2025年公募基金行业经营状况及发展趋势</w:t>
      </w:r>
    </w:p>
    <w:p>
      <w:r>
        <w:rPr>
          <w:rFonts w:ascii="等线(中文正文)" w:hAnsi="等线(中文正文)" w:cs="等线(中文正文)" w:eastAsia="等线(中文正文)"/>
          <w:b w:val="false"/>
          <w:i w:val="false"/>
          <w:sz w:val="20"/>
        </w:rPr>
        <w:t>2025年，68家公募基金公司营收和净利润同比增长13%，头部公司保持稳定，易方达净利润小幅下滑仍居首位。中小公司如永赢基金权益基金规模大幅增长。债券型基金方面，海富通和景顺长城固收加产品发力，景顺长城二级债基规模突破千亿。QD产品和ETF规模亦呈现快速增长，反映全球化配置需求。</w:t>
      </w:r>
    </w:p>
    <w:p>
      <w:r>
        <w:rPr>
          <w:rFonts w:ascii="等线(中文正文)" w:hAnsi="等线(中文正文)" w:cs="等线(中文正文)" w:eastAsia="等线(中文正文)"/>
          <w:b w:val="false"/>
          <w:i w:val="false"/>
          <w:sz w:val="20"/>
        </w:rPr>
        <w:t/>
      </w:r>
    </w:p>
    <w:p>
      <w:pPr>
        <w:pStyle w:val="ab"/>
        <w:numPr>
          <w:numId w:val="7"/>
        </w:numPr>
      </w:pPr>
      <w:r>
        <w:t>19:32 公积金行业头部效应与管理规模趋势分析</w:t>
      </w:r>
    </w:p>
    <w:p>
      <w:r>
        <w:rPr>
          <w:rFonts w:ascii="等线(中文正文)" w:hAnsi="等线(中文正文)" w:cs="等线(中文正文)" w:eastAsia="等线(中文正文)"/>
          <w:b w:val="false"/>
          <w:i w:val="false"/>
          <w:sz w:val="20"/>
        </w:rPr>
        <w:t>从管理规模角度看，公积金行业头部效应显著，大型机构因投研、渠道及品牌优势持续吸纳资金，长期资金倾向于集中于头部平台。ETF管理规模集中度高，中小机构边缘化，头部机构通过正向循环扩大优势。行业布局中，货币基金和债券基金占比高，权益基金是头部机构拉开差距的关键，特色产品如QD和FOF占比虽小但形成差异化优势。场外开放式基金仍是主流，ETF集中于头部机构，中小机构在ETF布局上存在短板。</w:t>
      </w:r>
    </w:p>
    <w:p>
      <w:r>
        <w:rPr>
          <w:rFonts w:ascii="等线(中文正文)" w:hAnsi="等线(中文正文)" w:cs="等线(中文正文)" w:eastAsia="等线(中文正文)"/>
          <w:b w:val="false"/>
          <w:i w:val="false"/>
          <w:sz w:val="20"/>
        </w:rPr>
        <w:t/>
      </w:r>
    </w:p>
    <w:p>
      <w:pPr>
        <w:pStyle w:val="ab"/>
        <w:numPr>
          <w:numId w:val="8"/>
        </w:numPr>
      </w:pPr>
      <w:r>
        <w:t>24:30 2025年公募基金改革成效与收益提升</w:t>
      </w:r>
    </w:p>
    <w:p>
      <w:r>
        <w:rPr>
          <w:rFonts w:ascii="等线(中文正文)" w:hAnsi="等线(中文正文)" w:cs="等线(中文正文)" w:eastAsia="等线(中文正文)"/>
          <w:b w:val="false"/>
          <w:i w:val="false"/>
          <w:sz w:val="20"/>
        </w:rPr>
        <w:t>2025年公募基金行业通过费率改革等措施，实现了从规模驱动到业绩驱动的转变，行业平均管理费降至0.38%，净收益率大幅提升，易方达、华夏国等基金公司表现突出，同时改革显著提升了长期投资者回报。</w:t>
      </w:r>
    </w:p>
    <w:p>
      <w:r>
        <w:rPr>
          <w:rFonts w:ascii="等线(中文正文)" w:hAnsi="等线(中文正文)" w:cs="等线(中文正文)" w:eastAsia="等线(中文正文)"/>
          <w:b w:val="false"/>
          <w:i w:val="false"/>
          <w:sz w:val="20"/>
        </w:rPr>
        <w:t/>
      </w:r>
    </w:p>
    <w:p>
      <w:pPr>
        <w:pStyle w:val="ab"/>
        <w:numPr>
          <w:numId w:val="9"/>
        </w:numPr>
      </w:pPr>
      <w:r>
        <w:t>29:10 2025年证监会推动公募基金高质量发展政策解析</w:t>
      </w:r>
    </w:p>
    <w:p>
      <w:r>
        <w:rPr>
          <w:rFonts w:ascii="等线(中文正文)" w:hAnsi="等线(中文正文)" w:cs="等线(中文正文)" w:eastAsia="等线(中文正文)"/>
          <w:b w:val="false"/>
          <w:i w:val="false"/>
          <w:sz w:val="20"/>
        </w:rPr>
        <w:t>2025年，证监会发布多项政策推动公募基金高质量发展，包括推动公募基金高质量发展行动方案、业绩比较基准征求意见、绩效管理考核之一。行动方案包含25条细化举措，推行唯一基准挂钩的普通管理费模式，重塑全行业考核体系，鼓励做大权益基金规模，完善投资者配套服务。业绩比较基准征求意见要求基金业绩比较基准必须结合产品定位和投资风格，明确基金公司内部薪酬考核需与收益是否跑赢基准深度绑定。绩效管理考核之一进一步约束全行业基金公司考核体系，短期规模考核权重下降，长期收益成为核心考核标准。</w:t>
      </w:r>
    </w:p>
    <w:p>
      <w:r>
        <w:rPr>
          <w:rFonts w:ascii="等线(中文正文)" w:hAnsi="等线(中文正文)" w:cs="等线(中文正文)" w:eastAsia="等线(中文正文)"/>
          <w:b w:val="false"/>
          <w:i w:val="false"/>
          <w:sz w:val="20"/>
        </w:rPr>
        <w:t/>
      </w:r>
    </w:p>
    <w:p>
      <w:pPr>
        <w:pStyle w:val="ab"/>
        <w:numPr>
          <w:numId w:val="10"/>
        </w:numPr>
      </w:pPr>
      <w:r>
        <w:t>32:25 券商财富管理与互联网金融投资主线分析</w:t>
      </w:r>
    </w:p>
    <w:p>
      <w:r>
        <w:rPr>
          <w:rFonts w:ascii="等线(中文正文)" w:hAnsi="等线(中文正文)" w:cs="等线(中文正文)" w:eastAsia="等线(中文正文)"/>
          <w:b w:val="false"/>
          <w:i w:val="false"/>
          <w:sz w:val="20"/>
        </w:rPr>
        <w:t>报告分析了公积金行业发展趋势下，推荐关注三大主线：一是财富管理特色显著的中大型券商，如广发证券等；二是综合实力领先的头部券商，如中信证券等；三是互联网券商和金融信息服务商，如东方财富等，以分享行业扩容红利。</w:t>
      </w:r>
    </w:p>
    <w:p>
      <w:r>
        <w:rPr>
          <w:rFonts w:ascii="等线(中文正文)" w:hAnsi="等线(中文正文)" w:cs="等线(中文正文)" w:eastAsia="等线(中文正文)"/>
          <w:b w:val="false"/>
          <w:i w:val="false"/>
          <w:sz w:val="20"/>
        </w:rPr>
        <w:t/>
      </w:r>
    </w:p>
    <w:p>
      <w:pPr>
        <w:pStyle w:val="a7"/>
      </w:pPr>
      <w:r>
        <w:t>发言总结</w:t>
      </w:r>
    </w:p>
    <w:p>
      <w:pPr>
        <w:pStyle w:val="ab"/>
        <w:numPr>
          <w:numId w:val="11"/>
        </w:numPr>
      </w:pPr>
      <w:r>
        <w:t>发言人1</w:t>
      </w:r>
    </w:p>
    <w:p>
      <w:r>
        <w:rPr>
          <w:rFonts w:ascii="等线(中文正文)" w:hAnsi="等线(中文正文)" w:cs="等线(中文正文)" w:eastAsia="等线(中文正文)"/>
          <w:b w:val="false"/>
          <w:i w:val="false"/>
          <w:sz w:val="20"/>
        </w:rPr>
        <w:t>他，东吴证券的非银分析师郭玉刚，分享了公积金行业深度报告，主要围绕行业全年运行情况、公司经营现状、政策改革及二级市场投资机会。报告预测2025年公积金行业将全面回暖，公募基金市场规模达到新高，权益类基金为主要推动力，预计盈利水平平均翻倍，ETF产品扩张显著。同时指出基金管理人经营出现分化，头部机构稳固，其他基金公司依据自身资源发展特色。报告还分析了2025年的市场趋势，包括规模增长、基金产品收益率修复、主动与被动产品发展，以及公积金管理人经营情况和盈利表现。最后，提出了投资建议，强调关注具有财富管理特色、综合实力领先的头部券商，以及互联网券商和金融信息服务商等三个主线。</w:t>
      </w:r>
    </w:p>
    <w:p>
      <w:r>
        <w:rPr>
          <w:rFonts w:ascii="等线(中文正文)" w:hAnsi="等线(中文正文)" w:cs="等线(中文正文)" w:eastAsia="等线(中文正文)"/>
          <w:b w:val="false"/>
          <w:i w:val="false"/>
          <w:sz w:val="20"/>
        </w:rPr>
        <w:t/>
      </w:r>
    </w:p>
    <w:p>
      <w:pPr>
        <w:pStyle w:val="a7"/>
      </w:pPr>
      <w:r>
        <w:t>要点回顾</w:t>
      </w:r>
    </w:p>
    <w:p>
      <w:pPr>
        <w:pStyle w:val="ab"/>
      </w:pPr>
      <w:r>
        <w:t>公积金行业在2025年的整体运行情况如何？</w:t>
      </w:r>
    </w:p>
    <w:p>
      <w:r>
        <w:rPr>
          <w:rFonts w:ascii="等线(中文正文)" w:hAnsi="等线(中文正文)" w:cs="等线(中文正文)" w:eastAsia="等线(中文正文)"/>
          <w:b w:val="false"/>
          <w:i w:val="false"/>
          <w:sz w:val="20"/>
        </w:rPr>
        <w:t>发言人1：2025年是公积金行业全面回暖的一年，公募基金市场规模创下历史新高，权益类基金成为规模增长的主要驱动力。全年基金产品盈利水平平均翻倍，尤其是ETF等被动投资产品实现爆发式扩张。从基金管理人经营层面看，尽管业绩出现分化，头部机构仍保持稳固格局，不同基金公司凭借资源禀赋走出特色发展路径。此外，全行业基金产品收益率也实现了较大修复。</w:t>
      </w:r>
    </w:p>
    <w:p>
      <w:r>
        <w:rPr>
          <w:rFonts w:ascii="等线(中文正文)" w:hAnsi="等线(中文正文)" w:cs="等线(中文正文)" w:eastAsia="等线(中文正文)"/>
          <w:b w:val="false"/>
          <w:i w:val="false"/>
          <w:sz w:val="20"/>
        </w:rPr>
        <w:t/>
      </w:r>
    </w:p>
    <w:p>
      <w:pPr>
        <w:pStyle w:val="ab"/>
      </w:pPr>
      <w:r>
        <w:t>2025年公募基金行业的盈利表现如何？</w:t>
      </w:r>
    </w:p>
    <w:p>
      <w:r>
        <w:rPr>
          <w:rFonts w:ascii="等线(中文正文)" w:hAnsi="等线(中文正文)" w:cs="等线(中文正文)" w:eastAsia="等线(中文正文)"/>
          <w:b w:val="false"/>
          <w:i w:val="false"/>
          <w:sz w:val="20"/>
        </w:rPr>
        <w:t>发言人1：2025年公募基金行业整体实现净利润2.6万亿元，同比大幅增长，扭转了2022年以来的亏损局面。其中，权益型基金尤其是被动指数基金贡献了大部分利润，混合型基金也有显著盈利。而债券型基金虽然整体净利润下滑，但含权益较高的固收加产品盈利表现突出。货币型基金虽收益压低但仍保持稳定。</w:t>
      </w:r>
    </w:p>
    <w:p>
      <w:r>
        <w:rPr>
          <w:rFonts w:ascii="等线(中文正文)" w:hAnsi="等线(中文正文)" w:cs="等线(中文正文)" w:eastAsia="等线(中文正文)"/>
          <w:b w:val="false"/>
          <w:i w:val="false"/>
          <w:sz w:val="20"/>
        </w:rPr>
        <w:t/>
      </w:r>
    </w:p>
    <w:p>
      <w:pPr>
        <w:pStyle w:val="ab"/>
      </w:pPr>
      <w:r>
        <w:t>2025年公募基金市场的总规模变化情况如何？</w:t>
      </w:r>
    </w:p>
    <w:p>
      <w:r>
        <w:rPr>
          <w:rFonts w:ascii="等线(中文正文)" w:hAnsi="等线(中文正文)" w:cs="等线(中文正文)" w:eastAsia="等线(中文正文)"/>
          <w:b w:val="false"/>
          <w:i w:val="false"/>
          <w:sz w:val="20"/>
        </w:rPr>
        <w:t>发言人1：2025年末，全市场公募基金总规模达到37.7万亿元，同比增幅接近15%，且结构化特征明显，股票型和混合型基金增速领先，QD基金因居民全球资产配置需求也实现可观增速。债券型基金和货币型基金则实现了平稳的小增长。</w:t>
      </w:r>
    </w:p>
    <w:p>
      <w:r>
        <w:rPr>
          <w:rFonts w:ascii="等线(中文正文)" w:hAnsi="等线(中文正文)" w:cs="等线(中文正文)" w:eastAsia="等线(中文正文)"/>
          <w:b w:val="false"/>
          <w:i w:val="false"/>
          <w:sz w:val="20"/>
        </w:rPr>
        <w:t/>
      </w:r>
    </w:p>
    <w:p>
      <w:pPr>
        <w:pStyle w:val="ab"/>
      </w:pPr>
      <w:r>
        <w:t>2025年公募基金各类别的发行规模情况怎样？</w:t>
      </w:r>
    </w:p>
    <w:p>
      <w:r>
        <w:rPr>
          <w:rFonts w:ascii="等线(中文正文)" w:hAnsi="等线(中文正文)" w:cs="等线(中文正文)" w:eastAsia="等线(中文正文)"/>
          <w:b w:val="false"/>
          <w:i w:val="false"/>
          <w:sz w:val="20"/>
        </w:rPr>
        <w:t>发言人1：2025年权益类基金发行规模大幅回暖，债券类基金发行层面相对不理想。特别是权益类基金，在行情上行后发行规模同比实现大幅增长，指数类产品增速尤为显著。而债券型基金由于市场调整和监管导向转变，发行规模同比大幅减少。</w:t>
      </w:r>
    </w:p>
    <w:p>
      <w:r>
        <w:rPr>
          <w:rFonts w:ascii="等线(中文正文)" w:hAnsi="等线(中文正文)" w:cs="等线(中文正文)" w:eastAsia="等线(中文正文)"/>
          <w:b w:val="false"/>
          <w:i w:val="false"/>
          <w:sz w:val="20"/>
        </w:rPr>
        <w:t/>
      </w:r>
    </w:p>
    <w:p>
      <w:pPr>
        <w:pStyle w:val="ab"/>
      </w:pPr>
      <w:r>
        <w:t>2025年各类公募基金的份额变化情况如何？</w:t>
      </w:r>
    </w:p>
    <w:p>
      <w:r>
        <w:rPr>
          <w:rFonts w:ascii="等线(中文正文)" w:hAnsi="等线(中文正文)" w:cs="等线(中文正文)" w:eastAsia="等线(中文正文)"/>
          <w:b w:val="false"/>
          <w:i w:val="false"/>
          <w:sz w:val="20"/>
        </w:rPr>
        <w:t>发言人1：2022年至2024年，债券型基金发行规模占比持续高位，但在2025年出现较大下滑。其中，股东权益基金和混合型基金份额减少较为突出，而债券型基金内部结构分化明显，中长期纯债基金和短期纯债基金净流出较多，而混合策略和固收加产品则逆势净流入。货币型基金份额大幅攀升，成为全市场增长的主要来源。</w:t>
      </w:r>
    </w:p>
    <w:p>
      <w:r>
        <w:rPr>
          <w:rFonts w:ascii="等线(中文正文)" w:hAnsi="等线(中文正文)" w:cs="等线(中文正文)" w:eastAsia="等线(中文正文)"/>
          <w:b w:val="false"/>
          <w:i w:val="false"/>
          <w:sz w:val="20"/>
        </w:rPr>
        <w:t/>
      </w:r>
    </w:p>
    <w:p>
      <w:pPr>
        <w:pStyle w:val="ab"/>
      </w:pPr>
      <w:r>
        <w:t>被动基金与主动基金在2025年的规模对比如何？</w:t>
      </w:r>
    </w:p>
    <w:p>
      <w:r>
        <w:rPr>
          <w:rFonts w:ascii="等线(中文正文)" w:hAnsi="等线(中文正文)" w:cs="等线(中文正文)" w:eastAsia="等线(中文正文)"/>
          <w:b w:val="false"/>
          <w:i w:val="false"/>
          <w:sz w:val="20"/>
        </w:rPr>
        <w:t>发言人1：在2025年，被动基金持有的A股市值进一步超过主动基金，两者差距拉大。至年末，被动基金持有市值为4.27万亿元，而主动基金为3.21万亿元，体现了被动产品持续爆发的趋势，成为投资者参与资本市场的关键载体。</w:t>
      </w:r>
    </w:p>
    <w:p>
      <w:r>
        <w:rPr>
          <w:rFonts w:ascii="等线(中文正文)" w:hAnsi="等线(中文正文)" w:cs="等线(中文正文)" w:eastAsia="等线(中文正文)"/>
          <w:b w:val="false"/>
          <w:i w:val="false"/>
          <w:sz w:val="20"/>
        </w:rPr>
        <w:t/>
      </w:r>
    </w:p>
    <w:p>
      <w:pPr>
        <w:pStyle w:val="ab"/>
      </w:pPr>
      <w:r>
        <w:t>2019年以来，国内指数型基金规模有何变化？</w:t>
      </w:r>
    </w:p>
    <w:p>
      <w:r>
        <w:rPr>
          <w:rFonts w:ascii="等线(中文正文)" w:hAnsi="等线(中文正文)" w:cs="等线(中文正文)" w:eastAsia="等线(中文正文)"/>
          <w:b w:val="false"/>
          <w:i w:val="false"/>
          <w:sz w:val="20"/>
        </w:rPr>
        <w:t>发言人1：自2019年以来，国内的各类指数型基金规模实现快速增长。截至2025年末，股票型被动指数基金规模达到4.7万亿元，占权益类产品规模的51%；债券类指数基金规模达到1.8万亿元，占债券类产品规模的16%。市场上的指数型基金以权益型为主。</w:t>
      </w:r>
    </w:p>
    <w:p>
      <w:r>
        <w:rPr>
          <w:rFonts w:ascii="等线(中文正文)" w:hAnsi="等线(中文正文)" w:cs="等线(中文正文)" w:eastAsia="等线(中文正文)"/>
          <w:b w:val="false"/>
          <w:i w:val="false"/>
          <w:sz w:val="20"/>
        </w:rPr>
        <w:t/>
      </w:r>
    </w:p>
    <w:p>
      <w:pPr>
        <w:pStyle w:val="ab"/>
      </w:pPr>
      <w:r>
        <w:t>被动产品和ETF市场有哪些发展趋势？</w:t>
      </w:r>
    </w:p>
    <w:p>
      <w:r>
        <w:rPr>
          <w:rFonts w:ascii="等线(中文正文)" w:hAnsi="等线(中文正文)" w:cs="等线(中文正文)" w:eastAsia="等线(中文正文)"/>
          <w:b w:val="false"/>
          <w:i w:val="false"/>
          <w:sz w:val="20"/>
        </w:rPr>
        <w:t>发言人1：随着规模增长，被动产品和ETF的品类不断丰富，出现了宽基指数、行业主题及smart beta等多种类型的ETF产品，以满足投资者不同的需求和风险偏好。同时，政策对创业板、沪深港通及msci纳瑞谷等利好消息推动了ETF市场的影响力和吸引力。</w:t>
      </w:r>
    </w:p>
    <w:p>
      <w:r>
        <w:rPr>
          <w:rFonts w:ascii="等线(中文正文)" w:hAnsi="等线(中文正文)" w:cs="等线(中文正文)" w:eastAsia="等线(中文正文)"/>
          <w:b w:val="false"/>
          <w:i w:val="false"/>
          <w:sz w:val="20"/>
        </w:rPr>
        <w:t/>
      </w:r>
    </w:p>
    <w:p>
      <w:pPr>
        <w:pStyle w:val="ab"/>
      </w:pPr>
      <w:r>
        <w:t>公积金管理人在经营情况方面的总体趋势如何？</w:t>
      </w:r>
    </w:p>
    <w:p>
      <w:r>
        <w:rPr>
          <w:rFonts w:ascii="等线(中文正文)" w:hAnsi="等线(中文正文)" w:cs="等线(中文正文)" w:eastAsia="等线(中文正文)"/>
          <w:b w:val="false"/>
          <w:i w:val="false"/>
          <w:sz w:val="20"/>
        </w:rPr>
        <w:t>发言人1：虽然各家公司发展路径各异，但整体来看，公积金管理人的启动度保持较高水平。从盈利数据来看，68家具有公募基金牌照的公司，在2025年的营收和净利润均同比增长13%。其中，头部基金公司凭借产品结构多元的优势，在行业消费背景下保持稳定经营结果，而部分中小公司则通过加强特定类型基金产品的布局实现较大增长。</w:t>
      </w:r>
    </w:p>
    <w:p>
      <w:r>
        <w:rPr>
          <w:rFonts w:ascii="等线(中文正文)" w:hAnsi="等线(中文正文)" w:cs="等线(中文正文)" w:eastAsia="等线(中文正文)"/>
          <w:b w:val="false"/>
          <w:i w:val="false"/>
          <w:sz w:val="20"/>
        </w:rPr>
        <w:t/>
      </w:r>
    </w:p>
    <w:p>
      <w:pPr>
        <w:pStyle w:val="ab"/>
      </w:pPr>
      <w:r>
        <w:t>公募基金行业的集中度及战略增长路径有何特点？</w:t>
      </w:r>
    </w:p>
    <w:p>
      <w:r>
        <w:rPr>
          <w:rFonts w:ascii="等线(中文正文)" w:hAnsi="等线(中文正文)" w:cs="等线(中文正文)" w:eastAsia="等线(中文正文)"/>
          <w:b w:val="false"/>
          <w:i w:val="false"/>
          <w:sz w:val="20"/>
        </w:rPr>
        <w:t>发言人1：公募基金行业的集中度保持高位，营收和净利润CR5及CR10分别达到34%和56%。头部公司凭借完善的产品矩阵和渠道持续领跑市场，部分中小公司聚焦权益基金并取得显著成效。此外，债券型基金中，部分机构因固收加产品发力实现规模增长，而ETF方面，各家规模普遍呈现爆发式增长，头部机构优势进一步扩大。</w:t>
      </w:r>
    </w:p>
    <w:p>
      <w:r>
        <w:rPr>
          <w:rFonts w:ascii="等线(中文正文)" w:hAnsi="等线(中文正文)" w:cs="等线(中文正文)" w:eastAsia="等线(中文正文)"/>
          <w:b w:val="false"/>
          <w:i w:val="false"/>
          <w:sz w:val="20"/>
        </w:rPr>
        <w:t/>
      </w:r>
    </w:p>
    <w:p>
      <w:pPr>
        <w:pStyle w:val="ab"/>
      </w:pPr>
      <w:r>
        <w:t>从产品布局和投向结构看，公募基金有何特点？</w:t>
      </w:r>
    </w:p>
    <w:p>
      <w:r>
        <w:rPr>
          <w:rFonts w:ascii="等线(中文正文)" w:hAnsi="等线(中文正文)" w:cs="等线(中文正文)" w:eastAsia="等线(中文正文)"/>
          <w:b w:val="false"/>
          <w:i w:val="false"/>
          <w:sz w:val="20"/>
        </w:rPr>
        <w:t>发言人1：公募基金产品布局分化明显，头部机构倾向于全品类均衡发展，中小机构更依赖单一品类基金产品。货币基金仍是全行业布局的第一大品类，债券基金紧随其后，权益基金（股票和混合基金）占比为27%，QDFOF等特色产品品类占比不足5%。从运作形态看，场外普通开放式基金是行业主流，而ETF对于部分以被动指数为特色的机构来说，占比会较高。从产品收益情况看，2025年公募基金产品整体净收益率大幅提升，为投资者创造了可观盈利空间。</w:t>
      </w:r>
    </w:p>
    <w:p>
      <w:r>
        <w:rPr>
          <w:rFonts w:ascii="等线(中文正文)" w:hAnsi="等线(中文正文)" w:cs="等线(中文正文)" w:eastAsia="等线(中文正文)"/>
          <w:b w:val="false"/>
          <w:i w:val="false"/>
          <w:sz w:val="20"/>
        </w:rPr>
        <w:t/>
      </w:r>
    </w:p>
    <w:p>
      <w:pPr>
        <w:pStyle w:val="ab"/>
      </w:pPr>
      <w:r>
        <w:t>易方达、华夏等基金公司的净收率情况如何？</w:t>
      </w:r>
    </w:p>
    <w:p>
      <w:r>
        <w:rPr>
          <w:rFonts w:ascii="等线(中文正文)" w:hAnsi="等线(中文正文)" w:cs="等线(中文正文)" w:eastAsia="等线(中文正文)"/>
          <w:b w:val="false"/>
          <w:i w:val="false"/>
          <w:sz w:val="20"/>
        </w:rPr>
        <w:t>发言人1：易方达、华夏等大型基金公司的净收率在过去24年里实现了翻倍增长。部分中小机构如博道基金、睿远基金，由于较高的权益基金占比，在权益市场行情向好时表现出良好的收益兑现优势。相比之下，以货币型基金或固收基金为主要特色的一些机构，如天弘基金和招商基金可能受到较大负面影响，净值收益率相对偏低。</w:t>
      </w:r>
    </w:p>
    <w:p>
      <w:r>
        <w:rPr>
          <w:rFonts w:ascii="等线(中文正文)" w:hAnsi="等线(中文正文)" w:cs="等线(中文正文)" w:eastAsia="等线(中文正文)"/>
          <w:b w:val="false"/>
          <w:i w:val="false"/>
          <w:sz w:val="20"/>
        </w:rPr>
        <w:t/>
      </w:r>
    </w:p>
    <w:p>
      <w:pPr>
        <w:pStyle w:val="ab"/>
      </w:pPr>
      <w:r>
        <w:t>近年来公募基金行业的顶层配套改革政策有哪些？</w:t>
      </w:r>
    </w:p>
    <w:p>
      <w:r>
        <w:rPr>
          <w:rFonts w:ascii="等线(中文正文)" w:hAnsi="等线(中文正文)" w:cs="等线(中文正文)" w:eastAsia="等线(中文正文)"/>
          <w:b w:val="false"/>
          <w:i w:val="false"/>
          <w:sz w:val="20"/>
        </w:rPr>
        <w:t>发言人1：近年来，公募基金行业有三个主要的顶层配套改革政策落地。第一步是2023年的公积金费率改革，聚焦基础运作费用下调，包括主动基金管理费、交易佣金及渠道佣金的减少；第二步是2024年进一步优化赎回费规则；第三步是2025年全面降费，实现管理费、交易佣金及销售费用全链条的费用降低。整体改革已全部完成，每年为投资者节省500亿元。</w:t>
      </w:r>
    </w:p>
    <w:p>
      <w:r>
        <w:rPr>
          <w:rFonts w:ascii="等线(中文正文)" w:hAnsi="等线(中文正文)" w:cs="等线(中文正文)" w:eastAsia="等线(中文正文)"/>
          <w:b w:val="false"/>
          <w:i w:val="false"/>
          <w:sz w:val="20"/>
        </w:rPr>
        <w:t/>
      </w:r>
    </w:p>
    <w:p>
      <w:pPr>
        <w:pStyle w:val="ab"/>
      </w:pPr>
      <w:r>
        <w:t>公积金费率改革的效果如何？</w:t>
      </w:r>
    </w:p>
    <w:p>
      <w:r>
        <w:rPr>
          <w:rFonts w:ascii="等线(中文正文)" w:hAnsi="等线(中文正文)" w:cs="等线(中文正文)" w:eastAsia="等线(中文正文)"/>
          <w:b w:val="false"/>
          <w:i w:val="false"/>
          <w:sz w:val="20"/>
        </w:rPr>
        <w:t>发言人1：改革效果显著，行业平均管理费从改革前的0.57%降至2025年的0.38%，且下降趋势逐步收敛。降费政策对基金公司利润的短期冲击已基本出清，行业正从规模驱动转向业绩驱动的新发展模式。</w:t>
      </w:r>
    </w:p>
    <w:p>
      <w:r>
        <w:rPr>
          <w:rFonts w:ascii="等线(中文正文)" w:hAnsi="等线(中文正文)" w:cs="等线(中文正文)" w:eastAsia="等线(中文正文)"/>
          <w:b w:val="false"/>
          <w:i w:val="false"/>
          <w:sz w:val="20"/>
        </w:rPr>
        <w:t/>
      </w:r>
    </w:p>
    <w:p>
      <w:pPr>
        <w:pStyle w:val="ab"/>
      </w:pPr>
      <w:r>
        <w:t>推动公募基金高质量发展的行动方案包含哪些具体内容？</w:t>
      </w:r>
    </w:p>
    <w:p>
      <w:r>
        <w:rPr>
          <w:rFonts w:ascii="等线(中文正文)" w:hAnsi="等线(中文正文)" w:cs="等线(中文正文)" w:eastAsia="等线(中文正文)"/>
          <w:b w:val="false"/>
          <w:i w:val="false"/>
          <w:sz w:val="20"/>
        </w:rPr>
        <w:t>发言人1：该方案共有25条细化举措，旨在落实新国九条相关要求，针对自动权益基金产品设定基准挂钩的普通管理费模式，并重塑全行业的考核体系，降低管理规模和公司营收利润在考核中的权重，将长期投资收益作为核心考核指标。同时鼓励做大权益基金规模，丰富产品供给，并完善投资者配套服务，加速基金投顾业务规范落地。</w:t>
      </w:r>
    </w:p>
    <w:p>
      <w:r>
        <w:rPr>
          <w:rFonts w:ascii="等线(中文正文)" w:hAnsi="等线(中文正文)" w:cs="等线(中文正文)" w:eastAsia="等线(中文正文)"/>
          <w:b w:val="false"/>
          <w:i w:val="false"/>
          <w:sz w:val="20"/>
        </w:rPr>
        <w:t/>
      </w:r>
    </w:p>
    <w:p>
      <w:pPr>
        <w:pStyle w:val="ab"/>
      </w:pPr>
      <w:r>
        <w:t>关于业绩比较基准的征求意见的目标是什么？</w:t>
      </w:r>
    </w:p>
    <w:p>
      <w:r>
        <w:rPr>
          <w:rFonts w:ascii="等线(中文正文)" w:hAnsi="等线(中文正文)" w:cs="等线(中文正文)" w:eastAsia="等线(中文正文)"/>
          <w:b w:val="false"/>
          <w:i w:val="false"/>
          <w:sz w:val="20"/>
        </w:rPr>
        <w:t>发言人1：征求意见旨在夯实公积金行业长期化改革基础，要求基金业绩比较基准必须结合产品定位和投资风格设定，并且一旦选定后不得随意更改或随市场热点漂移。此外，基金公司内部薪酬考核需与是否跑赢基准深度绑定，对于显著跑输基准的主动权益基金，其绩效和薪酬需大幅下调。</w:t>
      </w:r>
    </w:p>
    <w:p>
      <w:r>
        <w:rPr>
          <w:rFonts w:ascii="等线(中文正文)" w:hAnsi="等线(中文正文)" w:cs="等线(中文正文)" w:eastAsia="等线(中文正文)"/>
          <w:b w:val="false"/>
          <w:i w:val="false"/>
          <w:sz w:val="20"/>
        </w:rPr>
        <w:t/>
      </w:r>
    </w:p>
    <w:p>
      <w:pPr>
        <w:pStyle w:val="ab"/>
      </w:pPr>
      <w:r>
        <w:t>对于券商板块的投资主线有哪些推荐？</w:t>
      </w:r>
    </w:p>
    <w:p>
      <w:r>
        <w:rPr>
          <w:rFonts w:ascii="等线(中文正文)" w:hAnsi="等线(中文正文)" w:cs="等线(中文正文)" w:eastAsia="等线(中文正文)"/>
          <w:b w:val="false"/>
          <w:i w:val="false"/>
          <w:sz w:val="20"/>
        </w:rPr>
        <w:t>发言人1：在公积金行业持续向好的趋势下，有三条投资主线可关注：一是具备较强财富管理特色的券商，如持有头部公募基金股权比例较高或基金业务能力突出的广发证券、兴业证券、东方证券和海通证券；二是综合实力领先的头部券商，凭借资本实力和线上线下渠道优势，全方位受益于行业扩容，推荐中信证券、国泰、海通和华泰证券；三是互联网券商和金融信息服务商，利用线上平台流量优势精准触达客户，如东方财富、同花顺和指南针。</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2026-08-16T14:41:03Z</dcterms:created>
  <dc:creator>Apache POI</dc:creator>
</cp:coreProperties>
</file>