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方正焦娟 十三讲：如何看可灵与即梦的数据差异 260816_导读</w:t>
      </w:r>
    </w:p>
    <w:p>
      <w:pPr>
        <w:pStyle w:val="a0"/>
        <w:jc w:val="center"/>
      </w:pPr>
      <w:r>
        <w:t>2026年08月16日 22:39</w:t>
      </w:r>
    </w:p>
    <w:p>
      <w:pPr>
        <w:pStyle w:val="a7"/>
      </w:pPr>
      <w:r>
        <w:t>关键词</w:t>
      </w:r>
    </w:p>
    <w:p>
      <w:r>
        <w:rPr>
          <w:rFonts w:ascii="等线(中文正文)" w:hAnsi="等线(中文正文)" w:cs="等线(中文正文)" w:eastAsia="等线(中文正文)"/>
          <w:b w:val="false"/>
          <w:i w:val="false"/>
          <w:sz w:val="20"/>
        </w:rPr>
        <w:t xml:space="preserve">AI 估值方式 生产者用户 消费者用户 MAU 消费端价值 分层 ARR 平台型公司 生态协同 深度生产 分发价值 用户资产 运营实力 变现方式 用户黏性 运营方式 订阅API 企业海外结构 续费率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随着AI时代的到来，公司估值方式正在发生转变，尤其对于平台性公司而言，传统的互联网平台估值方式已难以适应。在AI应用领域，特别是AI生成内容和专业生产者用户场景中，传统的用户基数如MAU已不再适用，因为生产者用户的价值密度和消费模式与普通消费者大相径庭。新的估值方法需考虑生产者用户的层级、消耗的tokens量级，以及平台通过运营策略促进正反馈循环和内容分发，形成数据飞轮。未来的AI应用型公司需在用户广度和生产深度之间找到平衡，第二层公司（既拥有消费者用户也提供专业生产工具的平台）在分发和生态协同方面显得尤为重要。因此，AI应用的估值框架应综合考虑当前收入、未来潜力以及各平台在不同生态中的独特价值。</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AI时代企业估值方式的变革</w:t>
      </w:r>
    </w:p>
    <w:p>
      <w:r>
        <w:rPr>
          <w:rFonts w:ascii="等线(中文正文)" w:hAnsi="等线(中文正文)" w:cs="等线(中文正文)" w:eastAsia="等线(中文正文)"/>
          <w:b w:val="false"/>
          <w:i w:val="false"/>
          <w:sz w:val="20"/>
        </w:rPr>
        <w:t>对话讨论了在AI时代，企业尤其是平台性公司，其估值方式需从传统的用户数量乘以平均收入（如MAU*UP值）转向适应AI应用的新模式。以可伶和吉梦为例，指出生产者用户与消费者用户在平台上的价值创造存在显著差异，从而强调了AI应用业务应采用新的估值逻辑，区分于传统稳健业务的P/E估值。</w:t>
      </w:r>
    </w:p>
    <w:p>
      <w:r>
        <w:rPr>
          <w:rFonts w:ascii="等线(中文正文)" w:hAnsi="等线(中文正文)" w:cs="等线(中文正文)" w:eastAsia="等线(中文正文)"/>
          <w:b w:val="false"/>
          <w:i w:val="false"/>
          <w:sz w:val="20"/>
        </w:rPr>
        <w:t/>
      </w:r>
    </w:p>
    <w:p>
      <w:pPr>
        <w:pStyle w:val="ab"/>
        <w:numPr>
          <w:numId w:val="2"/>
        </w:numPr>
      </w:pPr>
      <w:r>
        <w:t>04:13 AI平台生产者用户价值评估方法探讨</w:t>
      </w:r>
    </w:p>
    <w:p>
      <w:r>
        <w:rPr>
          <w:rFonts w:ascii="等线(中文正文)" w:hAnsi="等线(中文正文)" w:cs="等线(中文正文)" w:eastAsia="等线(中文正文)"/>
          <w:b w:val="false"/>
          <w:i w:val="false"/>
          <w:sz w:val="20"/>
        </w:rPr>
        <w:t>对话深入讨论了AI平台生产者用户与消费者用户的本质区别，指出生产者用户的token消耗量级差异巨大，且其价值评估需采用不同于传统消费级互联网平台的方法。强调了生产者用户在AI平台上的行为特征，如批量生产素材、持续购买tokens等，以及这些行为对平台估值的影响。建议根据不同平台的生产者用户结构，分梯队进行价值评估，以更准确地反映其市场价值。</w:t>
      </w:r>
    </w:p>
    <w:p>
      <w:r>
        <w:rPr>
          <w:rFonts w:ascii="等线(中文正文)" w:hAnsi="等线(中文正文)" w:cs="等线(中文正文)" w:eastAsia="等线(中文正文)"/>
          <w:b w:val="false"/>
          <w:i w:val="false"/>
          <w:sz w:val="20"/>
        </w:rPr>
        <w:t/>
      </w:r>
    </w:p>
    <w:p>
      <w:pPr>
        <w:pStyle w:val="ab"/>
        <w:numPr>
          <w:numId w:val="3"/>
        </w:numPr>
      </w:pPr>
      <w:r>
        <w:t>10:05 AI应用平台估值：生产端与消费端价值差异</w:t>
      </w:r>
    </w:p>
    <w:p>
      <w:r>
        <w:rPr>
          <w:rFonts w:ascii="等线(中文正文)" w:hAnsi="等线(中文正文)" w:cs="等线(中文正文)" w:eastAsia="等线(中文正文)"/>
          <w:b w:val="false"/>
          <w:i w:val="false"/>
          <w:sz w:val="20"/>
        </w:rPr>
        <w:t>讨论了AI应用平台中生产端与消费端用户价值密度的巨大差异，强调了供给端价值与消费端价值的不同估值方法。指出平台需考虑生产端用户层级划分，以及向B2C分发平台转型的潜力。分析了吉梦依托快手的生态协同优势与高生产端价值，与另一平台在用户资产经营密度上的不同，强调了两者经营策略与位置的差异。</w:t>
      </w:r>
    </w:p>
    <w:p>
      <w:r>
        <w:rPr>
          <w:rFonts w:ascii="等线(中文正文)" w:hAnsi="等线(中文正文)" w:cs="等线(中文正文)" w:eastAsia="等线(中文正文)"/>
          <w:b w:val="false"/>
          <w:i w:val="false"/>
          <w:sz w:val="20"/>
        </w:rPr>
        <w:t/>
      </w:r>
    </w:p>
    <w:p>
      <w:pPr>
        <w:pStyle w:val="ab"/>
        <w:numPr>
          <w:numId w:val="4"/>
        </w:numPr>
      </w:pPr>
      <w:r>
        <w:t>15:03 AI应用用户分层与商业价值分析</w:t>
      </w:r>
    </w:p>
    <w:p>
      <w:r>
        <w:rPr>
          <w:rFonts w:ascii="等线(中文正文)" w:hAnsi="等线(中文正文)" w:cs="等线(中文正文)" w:eastAsia="等线(中文正文)"/>
          <w:b w:val="false"/>
          <w:i w:val="false"/>
          <w:sz w:val="20"/>
        </w:rPr>
        <w:t>讨论了AI应用中用户分层的重要性，特别是生产者用户的细分，以及如何通过用户的广度和生产的深度来评估AI应用的商业价值。提到了用户分层的四个层级，并指出商业生产者可以进一步细分，不同类型的生产者在成本和体量上存在显著差异。强调了第二层数据收集的难点，包括生产者用户的具体分层、运营方式及补贴水平等。同时，指出用户池的大小并不直接决定其价值，关键在于如何将大量MAU转化为活跃生产者和实现会员广告等交易价值。</w:t>
      </w:r>
    </w:p>
    <w:p>
      <w:r>
        <w:rPr>
          <w:rFonts w:ascii="等线(中文正文)" w:hAnsi="等线(中文正文)" w:cs="等线(中文正文)" w:eastAsia="等线(中文正文)"/>
          <w:b w:val="false"/>
          <w:i w:val="false"/>
          <w:sz w:val="20"/>
        </w:rPr>
        <w:t/>
      </w:r>
    </w:p>
    <w:p>
      <w:pPr>
        <w:pStyle w:val="ab"/>
        <w:numPr>
          <w:numId w:val="5"/>
        </w:numPr>
      </w:pPr>
      <w:r>
        <w:t>19:55 AI应用公司估值新视角：用户广度与生产深度并重</w:t>
      </w:r>
    </w:p>
    <w:p>
      <w:r>
        <w:rPr>
          <w:rFonts w:ascii="等线(中文正文)" w:hAnsi="等线(中文正文)" w:cs="等线(中文正文)" w:eastAsia="等线(中文正文)"/>
          <w:b w:val="false"/>
          <w:i w:val="false"/>
          <w:sz w:val="20"/>
        </w:rPr>
        <w:t>讨论了AI应用型公司在估值时应考虑用户广度与生产深度，强调运营实力和技术提升的重要性。指出AI公司估值需结合付费生产者结构、用户粘性、广告付费、生态协同等多维度，以及AR结果背后的订阅tokens、SAPI企业合同等具体指标。此外，还提到了AI平台型公司面临的挑战，以及在AI时代下，运营能力、技术提升和数据兑现对于公司竞争力的重要性。</w:t>
      </w:r>
    </w:p>
    <w:p>
      <w:r>
        <w:rPr>
          <w:rFonts w:ascii="等线(中文正文)" w:hAnsi="等线(中文正文)" w:cs="等线(中文正文)" w:eastAsia="等线(中文正文)"/>
          <w:b w:val="false"/>
          <w:i w:val="false"/>
          <w:sz w:val="20"/>
        </w:rPr>
        <w:t/>
      </w:r>
    </w:p>
    <w:p>
      <w:pPr>
        <w:pStyle w:val="ab"/>
        <w:numPr>
          <w:numId w:val="6"/>
        </w:numPr>
      </w:pPr>
      <w:r>
        <w:t>24:45 AI平台的分发与生态构建：数据飞轮与商业闭环</w:t>
      </w:r>
    </w:p>
    <w:p>
      <w:r>
        <w:rPr>
          <w:rFonts w:ascii="等线(中文正文)" w:hAnsi="等线(中文正文)" w:cs="等线(中文正文)" w:eastAsia="等线(中文正文)"/>
          <w:b w:val="false"/>
          <w:i w:val="false"/>
          <w:sz w:val="20"/>
        </w:rPr>
        <w:t>讨论了AI平台如何通过吸引高消费用户并提供分发功能形成数据飞轮，强调了分发对于用户正反馈和生态沉淀的重要性。分析了平台需具备的基础模型能力、垂类模型应用、用户生态建设及成本控制策略，指出AI应用平台的未来估值框架应聚焦于收入潜力、用户生产深度和生态价值发挥。</w:t>
      </w:r>
    </w:p>
    <w:p>
      <w:r>
        <w:rPr>
          <w:rFonts w:ascii="等线(中文正文)" w:hAnsi="等线(中文正文)" w:cs="等线(中文正文)" w:eastAsia="等线(中文正文)"/>
          <w:b w:val="false"/>
          <w:i w:val="false"/>
          <w:sz w:val="20"/>
        </w:rPr>
        <w:t/>
      </w:r>
    </w:p>
    <w:p>
      <w:pPr>
        <w:pStyle w:val="a7"/>
      </w:pPr>
      <w:r>
        <w:t>发言总结</w:t>
      </w:r>
    </w:p>
    <w:p>
      <w:pPr>
        <w:pStyle w:val="ab"/>
        <w:numPr>
          <w:numId w:val="7"/>
        </w:numPr>
      </w:pPr>
      <w:r>
        <w:t>发言人1</w:t>
      </w:r>
    </w:p>
    <w:p>
      <w:r>
        <w:rPr>
          <w:rFonts w:ascii="等线(中文正文)" w:hAnsi="等线(中文正文)" w:cs="等线(中文正文)" w:eastAsia="等线(中文正文)"/>
          <w:b w:val="false"/>
          <w:i w:val="false"/>
          <w:sz w:val="20"/>
        </w:rPr>
        <w:t>他强调，随着AI技术的发展，平台性公司的估值方式需从传统的互联网模式根本性切换。他指出，传统的用户基数和活跃度指标（如MAU）不再准确反映业务实际价值，提出未来新业务和现有业务重塑应采用新估值方式，尤其是能纳入三层研究框架的公司。老业务或现金流业务如房地产租赁、游戏可使用P估值，AI应用和可验证业务则采用新方式。他强调数据价值密度差异影响业务估值，AI时代公司估值需考虑用户广度与生产深度，高价值生产者用户和有效分发机制是关键。他呼吁企业重新思考业务模型和估值策略，以应对AI时代挑战，实现成功。</w:t>
      </w:r>
    </w:p>
    <w:p>
      <w:r>
        <w:rPr>
          <w:rFonts w:ascii="等线(中文正文)" w:hAnsi="等线(中文正文)" w:cs="等线(中文正文)" w:eastAsia="等线(中文正文)"/>
          <w:b w:val="false"/>
          <w:i w:val="false"/>
          <w:sz w:val="20"/>
        </w:rPr>
        <w:t/>
      </w:r>
    </w:p>
    <w:p>
      <w:pPr>
        <w:pStyle w:val="a7"/>
      </w:pPr>
      <w:r>
        <w:t>要点回顾</w:t>
      </w:r>
    </w:p>
    <w:p>
      <w:pPr>
        <w:pStyle w:val="ab"/>
      </w:pPr>
      <w:r>
        <w:t>在AI时代，对于上市公司的新业务或现有业务的重塑，估值方式应该如何转变？</w:t>
      </w:r>
    </w:p>
    <w:p>
      <w:r>
        <w:rPr>
          <w:rFonts w:ascii="等线(中文正文)" w:hAnsi="等线(中文正文)" w:cs="等线(中文正文)" w:eastAsia="等线(中文正文)"/>
          <w:b w:val="false"/>
          <w:i w:val="false"/>
          <w:sz w:val="20"/>
        </w:rPr>
        <w:t>发言人1：在AI时代，当业务可以被放入三层研究框架中时，应采用新的估值方式来评估。对于成熟且稳健的传统业务或现金流业务，可以给予P估值；而对于可以验证或进入验证周期的AI应用业务，则可以采用新的估值方式。</w:t>
      </w:r>
    </w:p>
    <w:p>
      <w:r>
        <w:rPr>
          <w:rFonts w:ascii="等线(中文正文)" w:hAnsi="等线(中文正文)" w:cs="等线(中文正文)" w:eastAsia="等线(中文正文)"/>
          <w:b w:val="false"/>
          <w:i w:val="false"/>
          <w:sz w:val="20"/>
        </w:rPr>
        <w:t/>
      </w:r>
    </w:p>
    <w:p>
      <w:pPr>
        <w:pStyle w:val="ab"/>
      </w:pPr>
      <w:r>
        <w:t>为什么单独讨论克林和集梦这两个案例，并说明AI时代的估值标准变化？</w:t>
      </w:r>
    </w:p>
    <w:p>
      <w:r>
        <w:rPr>
          <w:rFonts w:ascii="等线(中文正文)" w:hAnsi="等线(中文正文)" w:cs="等线(中文正文)" w:eastAsia="等线(中文正文)"/>
          <w:b w:val="false"/>
          <w:i w:val="false"/>
          <w:sz w:val="20"/>
        </w:rPr>
        <w:t>发言人1：克林和集梦的案例展示了AI应用对互联网平台估值方式的影响。尽管数据上可能存在矛盾，但大致情况是，AI应用的估值标准会发生变化，不能简单地用用户数（如DAU、MAU）乘以人均贡献值（up value）的方式进行评估，因为消费级互联网平台与生产者用户在up value上存在显著差异。</w:t>
      </w:r>
    </w:p>
    <w:p>
      <w:r>
        <w:rPr>
          <w:rFonts w:ascii="等线(中文正文)" w:hAnsi="等线(中文正文)" w:cs="等线(中文正文)" w:eastAsia="等线(中文正文)"/>
          <w:b w:val="false"/>
          <w:i w:val="false"/>
          <w:sz w:val="20"/>
        </w:rPr>
        <w:t/>
      </w:r>
    </w:p>
    <w:p>
      <w:pPr>
        <w:pStyle w:val="ab"/>
      </w:pPr>
      <w:r>
        <w:t>消费者用户和生产者用户在估值时的up value有何不同？</w:t>
      </w:r>
    </w:p>
    <w:p>
      <w:r>
        <w:rPr>
          <w:rFonts w:ascii="等线(中文正文)" w:hAnsi="等线(中文正文)" w:cs="等线(中文正文)" w:eastAsia="等线(中文正文)"/>
          <w:b w:val="false"/>
          <w:i w:val="false"/>
          <w:sz w:val="20"/>
        </w:rPr>
        <w:t>发言人1：消费者用户在不同平台上产生的up value相对接近，而生产者用户在不同平台上的消耗可能差异巨大。例如，在专业创作平台上，专业创作者相较于普通用户，其token消耗可能相差几个数量级。此外，生产者用户在创作过程中的迭代次数和精细度也会影响up value的大小。</w:t>
      </w:r>
    </w:p>
    <w:p>
      <w:r>
        <w:rPr>
          <w:rFonts w:ascii="等线(中文正文)" w:hAnsi="等线(中文正文)" w:cs="等线(中文正文)" w:eastAsia="等线(中文正文)"/>
          <w:b w:val="false"/>
          <w:i w:val="false"/>
          <w:sz w:val="20"/>
        </w:rPr>
        <w:t/>
      </w:r>
    </w:p>
    <w:p>
      <w:pPr>
        <w:pStyle w:val="ab"/>
      </w:pPr>
      <w:r>
        <w:t>如何正确评估以生产者用户为主的平台的价值？</w:t>
      </w:r>
    </w:p>
    <w:p>
      <w:r>
        <w:rPr>
          <w:rFonts w:ascii="等线(中文正文)" w:hAnsi="等线(中文正文)" w:cs="等线(中文正文)" w:eastAsia="等线(中文正文)"/>
          <w:b w:val="false"/>
          <w:i w:val="false"/>
          <w:sz w:val="20"/>
        </w:rPr>
        <w:t>发言人1：对于以生产者用户为主的平台，需要根据每个平台上的生产者用户结构，考虑不同梯队的用户消耗tokens的数量级区间，通过计算特定区间内MAU及消耗量级来评估其价值，而不能沿用消费级互联网平台的估值方法。</w:t>
      </w:r>
    </w:p>
    <w:p>
      <w:r>
        <w:rPr>
          <w:rFonts w:ascii="等线(中文正文)" w:hAnsi="等线(中文正文)" w:cs="等线(中文正文)" w:eastAsia="等线(中文正文)"/>
          <w:b w:val="false"/>
          <w:i w:val="false"/>
          <w:sz w:val="20"/>
        </w:rPr>
        <w:t/>
      </w:r>
    </w:p>
    <w:p>
      <w:pPr>
        <w:pStyle w:val="ab"/>
      </w:pPr>
      <w:r>
        <w:t>消费级互联网平台为何能采用用户数乘以人均贡献值的估值方式？</w:t>
      </w:r>
    </w:p>
    <w:p>
      <w:r>
        <w:rPr>
          <w:rFonts w:ascii="等线(中文正文)" w:hAnsi="等线(中文正文)" w:cs="等线(中文正文)" w:eastAsia="等线(中文正文)"/>
          <w:b w:val="false"/>
          <w:i w:val="false"/>
          <w:sz w:val="20"/>
        </w:rPr>
        <w:t>发言人1：消费级互联网平台的用户主要是消费者，使用产品以消耗时间为主，同类用户的价值较为雷同，且变现方式如广告、电商、游戏及增值服务等较为成熟，因此可以采用用户数乘以人均贡献值的方式来评估平台价值。但在AI时代，这一估值方法不再适用。</w:t>
      </w:r>
    </w:p>
    <w:p>
      <w:r>
        <w:rPr>
          <w:rFonts w:ascii="等线(中文正文)" w:hAnsi="等线(中文正文)" w:cs="等线(中文正文)" w:eastAsia="等线(中文正文)"/>
          <w:b w:val="false"/>
          <w:i w:val="false"/>
          <w:sz w:val="20"/>
        </w:rPr>
        <w:t/>
      </w:r>
    </w:p>
    <w:p>
      <w:pPr>
        <w:pStyle w:val="ab"/>
      </w:pPr>
      <w:r>
        <w:t>在AI时代，消费级互联网平台的MAU和up值有何特点？</w:t>
      </w:r>
    </w:p>
    <w:p>
      <w:r>
        <w:rPr>
          <w:rFonts w:ascii="等线(中文正文)" w:hAnsi="等线(中文正文)" w:cs="等线(中文正文)" w:eastAsia="等线(中文正文)"/>
          <w:b w:val="false"/>
          <w:i w:val="false"/>
          <w:sz w:val="20"/>
        </w:rPr>
        <w:t>发言人1：在AI时代，消费级互联网平台的MAU代表流量池，up值反映流量变现效率。由于各平台在流量池中通过多种方式同时做变现，这背后比拼的是运营实力。上市公司应考虑分布估值，针对消费级平台采用消费级估值方式，而对于生产端用户，则按生产端方式进行评估。</w:t>
      </w:r>
    </w:p>
    <w:p>
      <w:r>
        <w:rPr>
          <w:rFonts w:ascii="等线(中文正文)" w:hAnsi="等线(中文正文)" w:cs="等线(中文正文)" w:eastAsia="等线(中文正文)"/>
          <w:b w:val="false"/>
          <w:i w:val="false"/>
          <w:sz w:val="20"/>
        </w:rPr>
        <w:t/>
      </w:r>
    </w:p>
    <w:p>
      <w:pPr>
        <w:pStyle w:val="ab"/>
      </w:pPr>
      <w:r>
        <w:t>AI用户在平台上主要扮演什么角色？其行为特征与消费端用户有何区别？生产端用户的使用场景及付费特征是什么？</w:t>
      </w:r>
    </w:p>
    <w:p>
      <w:r>
        <w:rPr>
          <w:rFonts w:ascii="等线(中文正文)" w:hAnsi="等线(中文正文)" w:cs="等线(中文正文)" w:eastAsia="等线(中文正文)"/>
          <w:b w:val="false"/>
          <w:i w:val="false"/>
          <w:sz w:val="20"/>
        </w:rPr>
        <w:t>发言人1：AI用户更多是生产端角色，而非消费者或消费端用户。消费端用户主要行为包括浏览、体验、娱乐及偶尔生成或分享内容；而生产端用户则负责提供广告、短剧、游戏、电商等素材，并通过APR批量生产供商业项目购买。AI用户的消费行为更侧重于购买生产资料，成本和费用消耗较大，且追求顶级技术和版本。生产端用户使用平台时，轻度创作者生成少量视频用于个人表达，而高频用户会持续修改生成高级功能以满足最新需求，甚至不惜付出更高的成本。相较于追求物美价廉的消费端用户，生产端用户更倾向于追逐顶级技术和版本，频繁使用高级功能并可能为企业或API付费。</w:t>
      </w:r>
    </w:p>
    <w:p>
      <w:r>
        <w:rPr>
          <w:rFonts w:ascii="等线(中文正文)" w:hAnsi="等线(中文正文)" w:cs="等线(中文正文)" w:eastAsia="等线(中文正文)"/>
          <w:b w:val="false"/>
          <w:i w:val="false"/>
          <w:sz w:val="20"/>
        </w:rPr>
        <w:t/>
      </w:r>
    </w:p>
    <w:p>
      <w:pPr>
        <w:pStyle w:val="ab"/>
      </w:pPr>
      <w:r>
        <w:t>对于AI应用的平台型公司，在估值时应关注哪些关键点？</w:t>
      </w:r>
    </w:p>
    <w:p>
      <w:r>
        <w:rPr>
          <w:rFonts w:ascii="等线(中文正文)" w:hAnsi="等线(中文正文)" w:cs="等线(中文正文)" w:eastAsia="等线(中文正文)"/>
          <w:b w:val="false"/>
          <w:i w:val="false"/>
          <w:sz w:val="20"/>
        </w:rPr>
        <w:t>发言人1：AI应用平台型公司的估值需要考虑供给端价值（生产端用户及其消耗频次、任务深度）和消费端价值两个层面。供给端价值体现为生产端用户通过API调用带来的收入规模，消费端价值则与平台的分发能力和生态协同潜力相关。例如，集梦依托庞大的用户资产和字节跳动的运营实力，在分发和生态协同方面具有较大潜力，而吉梦则在深度生产ARR和单位MAU收入上有较高优势。</w:t>
      </w:r>
    </w:p>
    <w:p>
      <w:r>
        <w:rPr>
          <w:rFonts w:ascii="等线(中文正文)" w:hAnsi="等线(中文正文)" w:cs="等线(中文正文)" w:eastAsia="等线(中文正文)"/>
          <w:b w:val="false"/>
          <w:i w:val="false"/>
          <w:sz w:val="20"/>
        </w:rPr>
        <w:t/>
      </w:r>
    </w:p>
    <w:p>
      <w:pPr>
        <w:pStyle w:val="ab"/>
      </w:pPr>
      <w:r>
        <w:t>生产者用户可以如何分层？不同层级之间的差异体现在哪些方面？</w:t>
      </w:r>
    </w:p>
    <w:p>
      <w:r>
        <w:rPr>
          <w:rFonts w:ascii="等线(中文正文)" w:hAnsi="等线(中文正文)" w:cs="等线(中文正文)" w:eastAsia="等线(中文正文)"/>
          <w:b w:val="false"/>
          <w:i w:val="false"/>
          <w:sz w:val="20"/>
        </w:rPr>
        <w:t>发言人1：生产者用户可以分为四个层级：体验者、活跃型创作者、付费生产者和商业生产者。其中，商业生产者的内部还可进一步细分，因为不同类型的商业生产者（如慢剧制作、真人短剧制作或互动引流）在消耗成本和体量上存在差异。此外，还有普通创作者、轻度创作者、高频创作者以及企业API用户等多个层级，它们之间在付费深度和消耗量级上表现出不同的差异。</w:t>
      </w:r>
    </w:p>
    <w:p>
      <w:r>
        <w:rPr>
          <w:rFonts w:ascii="等线(中文正文)" w:hAnsi="等线(中文正文)" w:cs="等线(中文正文)" w:eastAsia="等线(中文正文)"/>
          <w:b w:val="false"/>
          <w:i w:val="false"/>
          <w:sz w:val="20"/>
        </w:rPr>
        <w:t/>
      </w:r>
    </w:p>
    <w:p>
      <w:pPr>
        <w:pStyle w:val="ab"/>
      </w:pPr>
      <w:r>
        <w:t>在商业价值方面，为什么收入深度并不能完全代表全部商业价值？</w:t>
      </w:r>
    </w:p>
    <w:p>
      <w:r>
        <w:rPr>
          <w:rFonts w:ascii="等线(中文正文)" w:hAnsi="等线(中文正文)" w:cs="等线(中文正文)" w:eastAsia="等线(中文正文)"/>
          <w:b w:val="false"/>
          <w:i w:val="false"/>
          <w:sz w:val="20"/>
        </w:rPr>
        <w:t>发言人1：因为收入深度虽然能体现单位MAU的收入较高且具有较强的经常性收入，即用户黏性和价值密度较高，但后续付费生产者与商业任务的具体构成、运营方式（如订阅、API、企业海外结构等比例）以及人均token、续费率、补贴水平等细节信息更为关键，这些都需要进一步细分和分析。</w:t>
      </w:r>
    </w:p>
    <w:p>
      <w:r>
        <w:rPr>
          <w:rFonts w:ascii="等线(中文正文)" w:hAnsi="等线(中文正文)" w:cs="等线(中文正文)" w:eastAsia="等线(中文正文)"/>
          <w:b w:val="false"/>
          <w:i w:val="false"/>
          <w:sz w:val="20"/>
        </w:rPr>
        <w:t/>
      </w:r>
    </w:p>
    <w:p>
      <w:pPr>
        <w:pStyle w:val="ab"/>
      </w:pPr>
      <w:r>
        <w:t>三层研究架构中，最难跟踪的是哪一层？为什么？</w:t>
      </w:r>
    </w:p>
    <w:p>
      <w:r>
        <w:rPr>
          <w:rFonts w:ascii="等线(中文正文)" w:hAnsi="等线(中文正文)" w:cs="等线(中文正文)" w:eastAsia="等线(中文正文)"/>
          <w:b w:val="false"/>
          <w:i w:val="false"/>
          <w:sz w:val="20"/>
        </w:rPr>
        <w:t>发言人1：最难跟踪的是第二层，因为它涉及到底层数据库的不断收集工作。每家公司披露的数据不同，对应的时间窗口也不一样，且这一层主要关注技术性突破、运营方式、资本开支规划、涨价提价等阶段性调整，这些内容通常不被广泛公开，需要慢慢收集和深入挖掘。</w:t>
      </w:r>
    </w:p>
    <w:p>
      <w:r>
        <w:rPr>
          <w:rFonts w:ascii="等线(中文正文)" w:hAnsi="等线(中文正文)" w:cs="等线(中文正文)" w:eastAsia="等线(中文正文)"/>
          <w:b w:val="false"/>
          <w:i w:val="false"/>
          <w:sz w:val="20"/>
        </w:rPr>
        <w:t/>
      </w:r>
    </w:p>
    <w:p>
      <w:pPr>
        <w:pStyle w:val="ab"/>
      </w:pPr>
      <w:r>
        <w:t>对于第三层的研究重点是什么？</w:t>
      </w:r>
    </w:p>
    <w:p>
      <w:r>
        <w:rPr>
          <w:rFonts w:ascii="等线(中文正文)" w:hAnsi="等线(中文正文)" w:cs="等线(中文正文)" w:eastAsia="等线(中文正文)"/>
          <w:b w:val="false"/>
          <w:i w:val="false"/>
          <w:sz w:val="20"/>
        </w:rPr>
        <w:t>发言人1：第三层的重点在于明确公司如何实现兑现或变现，形成新的业务方向，并基于此产生经营性和业绩数据。这一层相对清晰，即能否将潜在的用户基础转化为真实的业务成果。</w:t>
      </w:r>
    </w:p>
    <w:p>
      <w:r>
        <w:rPr>
          <w:rFonts w:ascii="等线(中文正文)" w:hAnsi="等线(中文正文)" w:cs="等线(中文正文)" w:eastAsia="等线(中文正文)"/>
          <w:b w:val="false"/>
          <w:i w:val="false"/>
          <w:sz w:val="20"/>
        </w:rPr>
        <w:t/>
      </w:r>
    </w:p>
    <w:p>
      <w:pPr>
        <w:pStyle w:val="ab"/>
      </w:pPr>
      <w:r>
        <w:t>吉梦和可伶两家公司在MAU上的差异如何理解？</w:t>
      </w:r>
    </w:p>
    <w:p>
      <w:r>
        <w:rPr>
          <w:rFonts w:ascii="等线(中文正文)" w:hAnsi="等线(中文正文)" w:cs="等线(中文正文)" w:eastAsia="等线(中文正文)"/>
          <w:b w:val="false"/>
          <w:i w:val="false"/>
          <w:sz w:val="20"/>
        </w:rPr>
        <w:t>发言人1：吉梦的MAU更大，但这并不意味着价值较低。其成功在于吸引大量用户并沉淀丰富的行为和偏好数据，通过强大的运营实力将这些用户转化为活跃生产者，发展会员广告和交易性价值。同时，其生态体系内的内容分发也有协同效应，虽用户深度可能不那么深，但协同价值值得观察后续演变。</w:t>
      </w:r>
    </w:p>
    <w:p>
      <w:r>
        <w:rPr>
          <w:rFonts w:ascii="等线(中文正文)" w:hAnsi="等线(中文正文)" w:cs="等线(中文正文)" w:eastAsia="等线(中文正文)"/>
          <w:b w:val="false"/>
          <w:i w:val="false"/>
          <w:sz w:val="20"/>
        </w:rPr>
        <w:t/>
      </w:r>
    </w:p>
    <w:p>
      <w:pPr>
        <w:pStyle w:val="ab"/>
      </w:pPr>
      <w:r>
        <w:t>京东的情况如何？</w:t>
      </w:r>
    </w:p>
    <w:p>
      <w:r>
        <w:rPr>
          <w:rFonts w:ascii="等线(中文正文)" w:hAnsi="等线(中文正文)" w:cs="等线(中文正文)" w:eastAsia="等线(中文正文)"/>
          <w:b w:val="false"/>
          <w:i w:val="false"/>
          <w:sz w:val="20"/>
        </w:rPr>
        <w:t>发言人1：京东作为第二层公司，既有生产端用户的自有价值，也有消费端广告付费和生态协同的价值。因此，京东的估值不能简单按照消费级互联网平台或API模型公司来衡量，而是兼具两者特点，且两者都比较复杂，能逻辑上拆解得很细。</w:t>
      </w:r>
    </w:p>
    <w:p>
      <w:r>
        <w:rPr>
          <w:rFonts w:ascii="等线(中文正文)" w:hAnsi="等线(中文正文)" w:cs="等线(中文正文)" w:eastAsia="等线(中文正文)"/>
          <w:b w:val="false"/>
          <w:i w:val="false"/>
          <w:sz w:val="20"/>
        </w:rPr>
        <w:t/>
      </w:r>
    </w:p>
    <w:p>
      <w:pPr>
        <w:pStyle w:val="ab"/>
      </w:pPr>
      <w:r>
        <w:t>AI应用型公司的估值考量有哪些变化？</w:t>
      </w:r>
    </w:p>
    <w:p>
      <w:r>
        <w:rPr>
          <w:rFonts w:ascii="等线(中文正文)" w:hAnsi="等线(中文正文)" w:cs="等线(中文正文)" w:eastAsia="等线(中文正文)"/>
          <w:b w:val="false"/>
          <w:i w:val="false"/>
          <w:sz w:val="20"/>
        </w:rPr>
        <w:t>发言人1：AI应用型公司估值时需增加用户生产深度这条轴线，既要关注MAU，也要关注MA生产者的生产深度。同时，AR（用户活跃度）结果背后涉及订阅、API合同、海外结构、会员消费等多个维度，以及续费率、用户留存、复购率、成本、毛利率、利润、获客方式、价格策略等多个因素。</w:t>
      </w:r>
    </w:p>
    <w:p>
      <w:r>
        <w:rPr>
          <w:rFonts w:ascii="等线(中文正文)" w:hAnsi="等线(中文正文)" w:cs="等线(中文正文)" w:eastAsia="等线(中文正文)"/>
          <w:b w:val="false"/>
          <w:i w:val="false"/>
          <w:sz w:val="20"/>
        </w:rPr>
        <w:t/>
      </w:r>
    </w:p>
    <w:p>
      <w:pPr>
        <w:pStyle w:val="ab"/>
      </w:pPr>
      <w:r>
        <w:t>AI时代下，平台型公司的竞争环境有何不同？</w:t>
      </w:r>
    </w:p>
    <w:p>
      <w:r>
        <w:rPr>
          <w:rFonts w:ascii="等线(中文正文)" w:hAnsi="等线(中文正文)" w:cs="等线(中文正文)" w:eastAsia="等线(中文正文)"/>
          <w:b w:val="false"/>
          <w:i w:val="false"/>
          <w:sz w:val="20"/>
        </w:rPr>
        <w:t>发言人1：在AI时代，平台型公司的竞争优势差异较大，不再像互联网时期那样普遍存在单一互助模型。每个平台差异明显，对运营实力、技术提升和数据兑现变现能力的要求更高，尤其是AI应用型公司的推理成本、基础设施挂钩的资本开支等因素成为衡量竞争优势的关键点。</w:t>
      </w:r>
    </w:p>
    <w:p>
      <w:r>
        <w:rPr>
          <w:rFonts w:ascii="等线(中文正文)" w:hAnsi="等线(中文正文)" w:cs="等线(中文正文)" w:eastAsia="等线(中文正文)"/>
          <w:b w:val="false"/>
          <w:i w:val="false"/>
          <w:sz w:val="20"/>
        </w:rPr>
        <w:t/>
      </w:r>
    </w:p>
    <w:p>
      <w:pPr>
        <w:pStyle w:val="ab"/>
      </w:pPr>
      <w:r>
        <w:t>AI应用型公司，特别是平台型公司，它们需要具备哪些核心能力？</w:t>
      </w:r>
    </w:p>
    <w:p>
      <w:r>
        <w:rPr>
          <w:rFonts w:ascii="等线(中文正文)" w:hAnsi="等线(中文正文)" w:cs="等线(中文正文)" w:eastAsia="等线(中文正文)"/>
          <w:b w:val="false"/>
          <w:i w:val="false"/>
          <w:sz w:val="20"/>
        </w:rPr>
        <w:t>发言人1：AI应用型公司默认需要具备两块核心能力：第一是聚拢一批同时消耗比较多的用户；第二是通过进入分发环节，帮助用户形成正反馈并沉淀下来，以数据飞轮的形式刺激用户行为和内容创作。</w:t>
      </w:r>
    </w:p>
    <w:p>
      <w:r>
        <w:rPr>
          <w:rFonts w:ascii="等线(中文正文)" w:hAnsi="等线(中文正文)" w:cs="等线(中文正文)" w:eastAsia="等线(中文正文)"/>
          <w:b w:val="false"/>
          <w:i w:val="false"/>
          <w:sz w:val="20"/>
        </w:rPr>
        <w:t/>
      </w:r>
    </w:p>
    <w:p>
      <w:pPr>
        <w:pStyle w:val="ab"/>
      </w:pPr>
      <w:r>
        <w:t>数据飞轮在AI音乐领域的运作机制是什么？</w:t>
      </w:r>
    </w:p>
    <w:p>
      <w:r>
        <w:rPr>
          <w:rFonts w:ascii="等线(中文正文)" w:hAnsi="等线(中文正文)" w:cs="等线(中文正文)" w:eastAsia="等线(中文正文)"/>
          <w:b w:val="false"/>
          <w:i w:val="false"/>
          <w:sz w:val="20"/>
        </w:rPr>
        <w:t>发言人1：在AI音乐领域，数据飞轮通过垂类模型吸引专业音乐创作者参与创作，并在创作过程中利用分发机制收集用户反馈。这些反馈将反过来刺激创作者调整工作流程和创作方向，形成正反馈循环，从而产生数据飞轮效应。</w:t>
      </w:r>
    </w:p>
    <w:p>
      <w:r>
        <w:rPr>
          <w:rFonts w:ascii="等线(中文正文)" w:hAnsi="等线(中文正文)" w:cs="等线(中文正文)" w:eastAsia="等线(中文正文)"/>
          <w:b w:val="false"/>
          <w:i w:val="false"/>
          <w:sz w:val="20"/>
        </w:rPr>
        <w:t/>
      </w:r>
    </w:p>
    <w:p>
      <w:pPr>
        <w:pStyle w:val="ab"/>
      </w:pPr>
      <w:r>
        <w:t>阿里在财报交流中提出的构建强大模型及垂类模型的策略是如何实现的？</w:t>
      </w:r>
    </w:p>
    <w:p>
      <w:r>
        <w:rPr>
          <w:rFonts w:ascii="等线(中文正文)" w:hAnsi="等线(中文正文)" w:cs="等线(中文正文)" w:eastAsia="等线(中文正文)"/>
          <w:b w:val="false"/>
          <w:i w:val="false"/>
          <w:sz w:val="20"/>
        </w:rPr>
        <w:t>发言人1：阿里强调要建立强大的基础模型和众多垂类模型，用垂类模型来吸引用户并构建数据飞轮。竞争的关键不仅在于模型能力的强大，还包括能否形成完整的垂类入口，以及实验者生态的良性沉淀，同时帮助生态内创作者分发作品，形成商业闭环，如token消耗和连接消费者两端的广告投放等，并在此基础上优化成本结构和提升数据资产质量。</w:t>
      </w:r>
    </w:p>
    <w:p>
      <w:r>
        <w:rPr>
          <w:rFonts w:ascii="等线(中文正文)" w:hAnsi="等线(中文正文)" w:cs="等线(中文正文)" w:eastAsia="等线(中文正文)"/>
          <w:b w:val="false"/>
          <w:i w:val="false"/>
          <w:sz w:val="20"/>
        </w:rPr>
        <w:t/>
      </w:r>
    </w:p>
    <w:p>
      <w:pPr>
        <w:pStyle w:val="ab"/>
      </w:pPr>
      <w:r>
        <w:t>对于AI试验池走向规模扩张，应关注哪些关键指标？</w:t>
      </w:r>
    </w:p>
    <w:p>
      <w:r>
        <w:rPr>
          <w:rFonts w:ascii="等线(中文正文)" w:hAnsi="等线(中文正文)" w:cs="等线(中文正文)" w:eastAsia="等线(中文正文)"/>
          <w:b w:val="false"/>
          <w:i w:val="false"/>
          <w:sz w:val="20"/>
        </w:rPr>
        <w:t>发言人1：关注的动态跟踪指标包括：1) 高价值试验者的用户池；2) 潜在的商业化推进情况；3) 2027年及以后，第二层AI应用公司的运营特征会逐渐显现；4) 分发环节的效率以及新用户优势的强化；5) 如何更好地沉淀生态数据和生产者用户，让他们能够持续产生深度内容并形成正反馈。</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2026-08-16T14:44:23Z</dcterms:created>
  <dc:creator>Apache POI</dc:creator>
</cp:coreProperties>
</file>