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东财能源开采 金属每周谈（第31期） 260816_导读</w:t>
      </w:r>
    </w:p>
    <w:p>
      <w:pPr>
        <w:pStyle w:val="a0"/>
        <w:jc w:val="center"/>
      </w:pPr>
      <w:r>
        <w:t>2026年08月16日 22:39</w:t>
      </w:r>
    </w:p>
    <w:p>
      <w:pPr>
        <w:pStyle w:val="a7"/>
      </w:pPr>
      <w:r>
        <w:t>关键词</w:t>
      </w:r>
    </w:p>
    <w:p>
      <w:r>
        <w:rPr>
          <w:rFonts w:ascii="等线(中文正文)" w:hAnsi="等线(中文正文)" w:cs="等线(中文正文)" w:eastAsia="等线(中文正文)"/>
          <w:b w:val="false"/>
          <w:i w:val="false"/>
          <w:sz w:val="20"/>
        </w:rPr>
        <w:t xml:space="preserve">贵金属 黄金 白银 铜价 通胀压力 加息预期 估值修复 金融属性 需求旺季 碳酸锂 政策前置 出口前置 供给恢复 供需格局 锂价 库存 需求 供给 南美 进口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中泰有色金属团队分析了贵金属和锂板块的市场动态。尽管近期商品价格出现企稳，股票市场反应平淡，分析师认为中长期存在催化因素，值得配置。贵金属方面，通胀压力减轻和配置资金多元化为金价和银价提供支撑，美联储加息预期减弱可能进一步推高金价，强调了黄金的多样化配置需求和央行购金的可能性。锂板块，受到需求旺季、政策影响和出口前置的提振，尽管预期某些矿山复产，实际进展可能不及预期，库存持续去化支撑锂价上涨。长期来看，看好锂在新能源汽车和储能领域的强劲需求推动下，尽管供给端存在不确定性，整体上预计供需将维持紧平衡，支撑锂价。总结而言，强调了贵金属和锂板块的中长期投资机会，建议关注政策动向和供给链变化。</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贵金属与有色金属市场最新观点分享</w:t>
      </w:r>
    </w:p>
    <w:p>
      <w:r>
        <w:rPr>
          <w:rFonts w:ascii="等线(中文正文)" w:hAnsi="等线(中文正文)" w:cs="等线(中文正文)" w:eastAsia="等线(中文正文)"/>
          <w:b w:val="false"/>
          <w:i w:val="false"/>
          <w:sz w:val="20"/>
        </w:rPr>
        <w:t>对话围绕贵金属及有色金属板块的市场动态展开，指出金价、银价和铜价近期企稳，虽股票表现平淡，但认为中期存在催化因素，大周期向上。贵金属板块受益于通胀压力减轻和配置资金多元化，白银有望因投机情绪提升而补涨。强调市场波动是配置良机，同时提醒投资者注意风险与合规性。</w:t>
      </w:r>
    </w:p>
    <w:p>
      <w:r>
        <w:rPr>
          <w:rFonts w:ascii="等线(中文正文)" w:hAnsi="等线(中文正文)" w:cs="等线(中文正文)" w:eastAsia="等线(中文正文)"/>
          <w:b w:val="false"/>
          <w:i w:val="false"/>
          <w:sz w:val="20"/>
        </w:rPr>
        <w:t/>
      </w:r>
    </w:p>
    <w:p>
      <w:pPr>
        <w:pStyle w:val="ab"/>
        <w:numPr>
          <w:numId w:val="2"/>
        </w:numPr>
      </w:pPr>
      <w:r>
        <w:t>02:34 贵金属市场分析与黄金白银投资展望</w:t>
      </w:r>
    </w:p>
    <w:p>
      <w:r>
        <w:rPr>
          <w:rFonts w:ascii="等线(中文正文)" w:hAnsi="等线(中文正文)" w:cs="等线(中文正文)" w:eastAsia="等线(中文正文)"/>
          <w:b w:val="false"/>
          <w:i w:val="false"/>
          <w:sz w:val="20"/>
        </w:rPr>
        <w:t>对话深入分析了贵金属市场，尤其是黄金和白银的投资前景。指出非美地区供给偏紧与美国抢运内裤导致铜价易涨难跌，而黄金因通胀指数下降及全球资产配置多元化趋势，其价格中枢有望进一步抬升。白银作为弹性品种，在美联储加息预期降温及流动性宽松背景下，展现出更强的价格进攻性，成为博弈加息预期和流动性宽松的优选标的。</w:t>
      </w:r>
    </w:p>
    <w:p>
      <w:r>
        <w:rPr>
          <w:rFonts w:ascii="等线(中文正文)" w:hAnsi="等线(中文正文)" w:cs="等线(中文正文)" w:eastAsia="等线(中文正文)"/>
          <w:b w:val="false"/>
          <w:i w:val="false"/>
          <w:sz w:val="20"/>
        </w:rPr>
        <w:t/>
      </w:r>
    </w:p>
    <w:p>
      <w:pPr>
        <w:pStyle w:val="ab"/>
        <w:numPr>
          <w:numId w:val="3"/>
        </w:numPr>
      </w:pPr>
      <w:r>
        <w:t>07:58 贵金属板块估值分析与投资建议</w:t>
      </w:r>
    </w:p>
    <w:p>
      <w:r>
        <w:rPr>
          <w:rFonts w:ascii="等线(中文正文)" w:hAnsi="等线(中文正文)" w:cs="等线(中文正文)" w:eastAsia="等线(中文正文)"/>
          <w:b w:val="false"/>
          <w:i w:val="false"/>
          <w:sz w:val="20"/>
        </w:rPr>
        <w:t>对话深入探讨了贵金属板块的估值状况，指出该板块目前处于被低估状态，尤其在黄金领域，港股龙头公司如紫金黄金、招金矿业等展现出较大的估值修复空间。同时，考虑到离岸美元流动性边际宽松及定价上涨的预期，这些公司可能更具投资潜力。此外，中金黄金因低估值优势和业绩确定性也被推荐关注。对于白银，资源业银行是核心推荐标的。整体而言，贵金属板块存在明显的投资机会，建议投资者关注相关公司。</w:t>
      </w:r>
    </w:p>
    <w:p>
      <w:r>
        <w:rPr>
          <w:rFonts w:ascii="等线(中文正文)" w:hAnsi="等线(中文正文)" w:cs="等线(中文正文)" w:eastAsia="等线(中文正文)"/>
          <w:b w:val="false"/>
          <w:i w:val="false"/>
          <w:sz w:val="20"/>
        </w:rPr>
        <w:t/>
      </w:r>
    </w:p>
    <w:p>
      <w:pPr>
        <w:pStyle w:val="ab"/>
        <w:numPr>
          <w:numId w:val="4"/>
        </w:numPr>
      </w:pPr>
      <w:r>
        <w:t>10:20 铜板块供需分析与金融属性展望</w:t>
      </w:r>
    </w:p>
    <w:p>
      <w:r>
        <w:rPr>
          <w:rFonts w:ascii="等线(中文正文)" w:hAnsi="等线(中文正文)" w:cs="等线(中文正文)" w:eastAsia="等线(中文正文)"/>
          <w:b w:val="false"/>
          <w:i w:val="false"/>
          <w:sz w:val="20"/>
        </w:rPr>
        <w:t>铜板块的核心逻辑在于非美地区供给偏紧和美国进口强硬，导致全球显性库存快速去化，但本周去化速度放缓。LME库存减少，上期所持平，COMEX库存增长，反映贸易商将非美货源转向北美，加剧非美地区供给紧缺。下游加工企业开工率回升，需求端边际利空减弱。美国232关税期限临近，套利空间驱动进口抢运，压缩非美地区现货流动性。建议关注金融属性修复对铜价的影响，预计铜价有机会回升至14000-16000区间。同时，推荐关注西藏同行标的、港股低估值公司如中国有色矿业和五矿资源。</w:t>
      </w:r>
    </w:p>
    <w:p>
      <w:r>
        <w:rPr>
          <w:rFonts w:ascii="等线(中文正文)" w:hAnsi="等线(中文正文)" w:cs="等线(中文正文)" w:eastAsia="等线(中文正文)"/>
          <w:b w:val="false"/>
          <w:i w:val="false"/>
          <w:sz w:val="20"/>
        </w:rPr>
        <w:t/>
      </w:r>
    </w:p>
    <w:p>
      <w:pPr>
        <w:pStyle w:val="ab"/>
        <w:numPr>
          <w:numId w:val="5"/>
        </w:numPr>
      </w:pPr>
      <w:r>
        <w:t>15:58 锂价上涨分析与未来预测</w:t>
      </w:r>
    </w:p>
    <w:p>
      <w:r>
        <w:rPr>
          <w:rFonts w:ascii="等线(中文正文)" w:hAnsi="等线(中文正文)" w:cs="等线(中文正文)" w:eastAsia="等线(中文正文)"/>
          <w:b w:val="false"/>
          <w:i w:val="false"/>
          <w:sz w:val="20"/>
        </w:rPr>
        <w:t>对话深入探讨了锂板块的最新情况，指出锂价在需求旺季和供给恢复慢于预期的背景下出现修复，现货价格回升至15万元。分析认为，短期供需和库存状况良好，尽管八月底到九月初可能因京巴锂金矿到港和部分锂盐厂复产带来扰动，但整体供需格局偏紧，看好三季度至四季度初的锂价表现。长期来看，需求旺盛和库存低位将持续支撑锂价。</w:t>
      </w:r>
    </w:p>
    <w:p>
      <w:r>
        <w:rPr>
          <w:rFonts w:ascii="等线(中文正文)" w:hAnsi="等线(中文正文)" w:cs="等线(中文正文)" w:eastAsia="等线(中文正文)"/>
          <w:b w:val="false"/>
          <w:i w:val="false"/>
          <w:sz w:val="20"/>
        </w:rPr>
        <w:t/>
      </w:r>
    </w:p>
    <w:p>
      <w:pPr>
        <w:pStyle w:val="ab"/>
        <w:numPr>
          <w:numId w:val="6"/>
        </w:numPr>
      </w:pPr>
      <w:r>
        <w:t>20:39 锂板块供需分析与未来预期</w:t>
      </w:r>
    </w:p>
    <w:p>
      <w:r>
        <w:rPr>
          <w:rFonts w:ascii="等线(中文正文)" w:hAnsi="等线(中文正文)" w:cs="等线(中文正文)" w:eastAsia="等线(中文正文)"/>
          <w:b w:val="false"/>
          <w:i w:val="false"/>
          <w:sz w:val="20"/>
        </w:rPr>
        <w:t>对话深入探讨了锂板块的供需状况与未来预期，指出长期需求端存在强劲支撑，政策与产业规划明确，储能与动力需求主线清晰。2027年全球锂供给增速预计为20%，需求增速在20%至25%区间，供需可能处于紧平衡状态。需求确定性高于供给，未来需关注供给恢复与下游采购节奏，维持对锂价的积极判断。</w:t>
      </w:r>
    </w:p>
    <w:p>
      <w:r>
        <w:rPr>
          <w:rFonts w:ascii="等线(中文正文)" w:hAnsi="等线(中文正文)" w:cs="等线(中文正文)" w:eastAsia="等线(中文正文)"/>
          <w:b w:val="false"/>
          <w:i w:val="false"/>
          <w:sz w:val="20"/>
        </w:rPr>
        <w:t/>
      </w:r>
    </w:p>
    <w:p>
      <w:pPr>
        <w:pStyle w:val="a7"/>
      </w:pPr>
      <w:r>
        <w:t>发言总结</w:t>
      </w:r>
    </w:p>
    <w:p>
      <w:pPr>
        <w:pStyle w:val="ab"/>
        <w:numPr>
          <w:numId w:val="7"/>
        </w:numPr>
      </w:pPr>
      <w:r>
        <w:t>发言人1</w:t>
      </w:r>
    </w:p>
    <w:p>
      <w:r>
        <w:rPr>
          <w:rFonts w:ascii="等线(中文正文)" w:hAnsi="等线(中文正文)" w:cs="等线(中文正文)" w:eastAsia="等线(中文正文)"/>
          <w:b w:val="false"/>
          <w:i w:val="false"/>
          <w:sz w:val="20"/>
        </w:rPr>
        <w:t>他，即中泰有色金属团队分析师张成浩及同事蔡子木，在电话会议中强调会议内容仅针对机构投资者或受邀客户，观点不构成投资建议。他们指出，尽管贵金属和铜价近期企稳，但市场反应平淡，可能与盈利兑现相关。长期看，贵金属和铜有催化因素，建议逢低买入。讨论了通胀缓解、资金多元化配置及韩国央行购金等市场动态，预测金银铜未来走势受需求旺季和供给恢复缓慢影响。在锂板块，他指出锂价近期上涨，看好未来因需求旺盛和供给恢复缓慢带来的持续上涨机会。</w:t>
      </w:r>
    </w:p>
    <w:p>
      <w:r>
        <w:rPr>
          <w:rFonts w:ascii="等线(中文正文)" w:hAnsi="等线(中文正文)" w:cs="等线(中文正文)" w:eastAsia="等线(中文正文)"/>
          <w:b w:val="false"/>
          <w:i w:val="false"/>
          <w:sz w:val="20"/>
        </w:rPr>
        <w:t/>
      </w:r>
    </w:p>
    <w:p>
      <w:pPr>
        <w:pStyle w:val="a7"/>
      </w:pPr>
      <w:r>
        <w:t>问答回顾</w:t>
      </w:r>
    </w:p>
    <w:p>
      <w:pPr>
        <w:pStyle w:val="ab"/>
      </w:pPr>
      <w:r>
        <w:t>发言人1 问：在贵金属板块中，有哪些催化因素和大周期上行的品种？</w:t>
      </w:r>
    </w:p>
    <w:p>
      <w:r>
        <w:rPr>
          <w:rFonts w:ascii="等线(中文正文)" w:hAnsi="等线(中文正文)" w:cs="等线(中文正文)" w:eastAsia="等线(中文正文)"/>
          <w:b w:val="false"/>
          <w:i w:val="false"/>
          <w:sz w:val="20"/>
        </w:rPr>
        <w:t>发言人1 答：我们认为贵金属、铜等品种在中期都有催化因素，并且处于大周期上行阶段。只要出现估值下修或盈利兑现的情况，这些品种将更适合作为配置机会。</w:t>
      </w:r>
    </w:p>
    <w:p>
      <w:r>
        <w:rPr>
          <w:rFonts w:ascii="等线(中文正文)" w:hAnsi="等线(中文正文)" w:cs="等线(中文正文)" w:eastAsia="等线(中文正文)"/>
          <w:b w:val="false"/>
          <w:i w:val="false"/>
          <w:sz w:val="20"/>
        </w:rPr>
        <w:t/>
      </w:r>
    </w:p>
    <w:p>
      <w:pPr>
        <w:pStyle w:val="ab"/>
      </w:pPr>
      <w:r>
        <w:t>发言人1 问：目前通胀压力和加息预期对金价有何影响？</w:t>
      </w:r>
    </w:p>
    <w:p>
      <w:r>
        <w:rPr>
          <w:rFonts w:ascii="等线(中文正文)" w:hAnsi="等线(中文正文)" w:cs="等线(中文正文)" w:eastAsia="等线(中文正文)"/>
          <w:b w:val="false"/>
          <w:i w:val="false"/>
          <w:sz w:val="20"/>
        </w:rPr>
        <w:t>发言人1 答：目前通胀压力边际减轻，前期过度激进的加息预期有望得到纠偏，这将推动金价中枢进一步抬升。根据CME fed watch的数据，市场预期九月加息的概率已下降至33%，但年内加息一次及以上的概率仍维持在68%左右，显示出金价向上反弹的空间较大。</w:t>
      </w:r>
    </w:p>
    <w:p>
      <w:r>
        <w:rPr>
          <w:rFonts w:ascii="等线(中文正文)" w:hAnsi="等线(中文正文)" w:cs="等线(中文正文)" w:eastAsia="等线(中文正文)"/>
          <w:b w:val="false"/>
          <w:i w:val="false"/>
          <w:sz w:val="20"/>
        </w:rPr>
        <w:t/>
      </w:r>
    </w:p>
    <w:p>
      <w:pPr>
        <w:pStyle w:val="ab"/>
      </w:pPr>
      <w:r>
        <w:t>发言人1 问：全球官方层面资产配置的变化如何？</w:t>
      </w:r>
    </w:p>
    <w:p>
      <w:r>
        <w:rPr>
          <w:rFonts w:ascii="等线(中文正文)" w:hAnsi="等线(中文正文)" w:cs="等线(中文正文)" w:eastAsia="等线(中文正文)"/>
          <w:b w:val="false"/>
          <w:i w:val="false"/>
          <w:sz w:val="20"/>
        </w:rPr>
        <w:t>发言人1 答：全球官方资产配置正呈现多样化趋势，如韩国央行增持黄金等大宗商品相关ETF以实现外汇储备多元化和抗通胀需求。这种去美元化和多元化配置的趋势，可能会导致央行购买黄金的需求增加。</w:t>
      </w:r>
    </w:p>
    <w:p>
      <w:r>
        <w:rPr>
          <w:rFonts w:ascii="等线(中文正文)" w:hAnsi="等线(中文正文)" w:cs="等线(中文正文)" w:eastAsia="等线(中文正文)"/>
          <w:b w:val="false"/>
          <w:i w:val="false"/>
          <w:sz w:val="20"/>
        </w:rPr>
        <w:t/>
      </w:r>
    </w:p>
    <w:p>
      <w:pPr>
        <w:pStyle w:val="ab"/>
      </w:pPr>
      <w:r>
        <w:t>发言人1 问：当央行购买黄金的意愿增强时，会受到哪些条件的影响？</w:t>
      </w:r>
    </w:p>
    <w:p>
      <w:r>
        <w:rPr>
          <w:rFonts w:ascii="等线(中文正文)" w:hAnsi="等线(中文正文)" w:cs="等线(中文正文)" w:eastAsia="等线(中文正文)"/>
          <w:b w:val="false"/>
          <w:i w:val="false"/>
          <w:sz w:val="20"/>
        </w:rPr>
        <w:t>发言人1 答：央行增持黄金的意愿增强通常与减持美债规模提升以及黄金价格处于低位且具有绝对投资性价比有关。当前环境下，这两个条件可能同时出现，从而促使央行购进黄金的中枢有所提升。</w:t>
      </w:r>
    </w:p>
    <w:p>
      <w:r>
        <w:rPr>
          <w:rFonts w:ascii="等线(中文正文)" w:hAnsi="等线(中文正文)" w:cs="等线(中文正文)" w:eastAsia="等线(中文正文)"/>
          <w:b w:val="false"/>
          <w:i w:val="false"/>
          <w:sz w:val="20"/>
        </w:rPr>
        <w:t/>
      </w:r>
    </w:p>
    <w:p>
      <w:pPr>
        <w:pStyle w:val="ab"/>
      </w:pPr>
      <w:r>
        <w:t>发言人1 问：经营比（ETF持仓比例）的变化及其对未来的影响是什么？</w:t>
      </w:r>
    </w:p>
    <w:p>
      <w:r>
        <w:rPr>
          <w:rFonts w:ascii="等线(中文正文)" w:hAnsi="等线(中文正文)" w:cs="等线(中文正文)" w:eastAsia="等线(中文正文)"/>
          <w:b w:val="false"/>
          <w:i w:val="false"/>
          <w:sz w:val="20"/>
        </w:rPr>
        <w:t>发言人1 答：经营比近期呈现阶段性上涨，反映出黄金投资边际买盘增加，尤其是央行持续购买黄金。白银尚未出现类似强劲需求，但随着美联储加息预期降温及流动性宽松，投资者将更倾向于配置白银，届时白银价格将具有更强的进攻性和弹性，经营比也有望均值回归。</w:t>
      </w:r>
    </w:p>
    <w:p>
      <w:r>
        <w:rPr>
          <w:rFonts w:ascii="等线(中文正文)" w:hAnsi="等线(中文正文)" w:cs="等线(中文正文)" w:eastAsia="等线(中文正文)"/>
          <w:b w:val="false"/>
          <w:i w:val="false"/>
          <w:sz w:val="20"/>
        </w:rPr>
        <w:t/>
      </w:r>
    </w:p>
    <w:p>
      <w:pPr>
        <w:pStyle w:val="ab"/>
      </w:pPr>
      <w:r>
        <w:t>发言人1 问：对于贵金属板块的估值和盈利能力现状如何？</w:t>
      </w:r>
    </w:p>
    <w:p>
      <w:r>
        <w:rPr>
          <w:rFonts w:ascii="等线(中文正文)" w:hAnsi="等线(中文正文)" w:cs="等线(中文正文)" w:eastAsia="等线(中文正文)"/>
          <w:b w:val="false"/>
          <w:i w:val="false"/>
          <w:sz w:val="20"/>
        </w:rPr>
        <w:t>发言人1 答：经过系统性梳理，贵金属板块目前整体处于被低估状态。即使按照当前金价950左右计算，板块平均估值约为15倍，而未来几年的产量增长率K格高达16%以上，部分公司如万国黄金集团、招金黄金等增长率甚至达到20%或30%以上，这表明整个黄金板块存在显著的估值修复空间。</w:t>
      </w:r>
    </w:p>
    <w:p>
      <w:r>
        <w:rPr>
          <w:rFonts w:ascii="等线(中文正文)" w:hAnsi="等线(中文正文)" w:cs="等线(中文正文)" w:eastAsia="等线(中文正文)"/>
          <w:b w:val="false"/>
          <w:i w:val="false"/>
          <w:sz w:val="20"/>
        </w:rPr>
        <w:t/>
      </w:r>
    </w:p>
    <w:p>
      <w:pPr>
        <w:pStyle w:val="ab"/>
      </w:pPr>
      <w:r>
        <w:t>发言人1 问：在贵金属方面，有哪些推荐的港股公司？对于白银市场，有哪些核心推荐的公司？</w:t>
      </w:r>
    </w:p>
    <w:p>
      <w:r>
        <w:rPr>
          <w:rFonts w:ascii="等线(中文正文)" w:hAnsi="等线(中文正文)" w:cs="等线(中文正文)" w:eastAsia="等线(中文正文)"/>
          <w:b w:val="false"/>
          <w:i w:val="false"/>
          <w:sz w:val="20"/>
        </w:rPr>
        <w:t>发言人1 答：我们推荐关注港股中的黄金龙头公司，如紫金黄金、国际招金矿业以及灵宝黄金，这些公司在离岸美元流动性边际宽松和定价上涨时会有较好的上涨潜力。另外，中金黄金也是一家中估值优势明显且业绩确定性较强的公司，值得投资者关注。白银方面，我们核心推荐资源业银行这两家公司。如果有关于贵金属的数据库需求，可以随时联系我们或对口销售以获取相关信息和分享数据库内容。</w:t>
      </w:r>
    </w:p>
    <w:p>
      <w:r>
        <w:rPr>
          <w:rFonts w:ascii="等线(中文正文)" w:hAnsi="等线(中文正文)" w:cs="等线(中文正文)" w:eastAsia="等线(中文正文)"/>
          <w:b w:val="false"/>
          <w:i w:val="false"/>
          <w:sz w:val="20"/>
        </w:rPr>
        <w:t/>
      </w:r>
    </w:p>
    <w:p>
      <w:pPr>
        <w:pStyle w:val="ab"/>
      </w:pPr>
      <w:r>
        <w:t>发言人1 问：当前铜板块的主要逻辑是什么？</w:t>
      </w:r>
    </w:p>
    <w:p>
      <w:r>
        <w:rPr>
          <w:rFonts w:ascii="等线(中文正文)" w:hAnsi="等线(中文正文)" w:cs="等线(中文正文)" w:eastAsia="等线(中文正文)"/>
          <w:b w:val="false"/>
          <w:i w:val="false"/>
          <w:sz w:val="20"/>
        </w:rPr>
        <w:t>发言人1 答：当前铜板块的核心逻辑主要有两点：一是非美地区供给持续偏紧缺，二是美国进口强硬。从库存数据看，全球显性库存仍维持快速去化趋势，但本周去货速度有所放缓。库存减少反映出欧洲亚太区域持续向北美地区供应货源，导致非美地区供给紧缺加剧。</w:t>
      </w:r>
    </w:p>
    <w:p>
      <w:r>
        <w:rPr>
          <w:rFonts w:ascii="等线(中文正文)" w:hAnsi="等线(中文正文)" w:cs="等线(中文正文)" w:eastAsia="等线(中文正文)"/>
          <w:b w:val="false"/>
          <w:i w:val="false"/>
          <w:sz w:val="20"/>
        </w:rPr>
        <w:t/>
      </w:r>
    </w:p>
    <w:p>
      <w:pPr>
        <w:pStyle w:val="ab"/>
      </w:pPr>
      <w:r>
        <w:t>发言人1 问：目前电解铜需求和加工端的情况如何？</w:t>
      </w:r>
    </w:p>
    <w:p>
      <w:r>
        <w:rPr>
          <w:rFonts w:ascii="等线(中文正文)" w:hAnsi="等线(中文正文)" w:cs="等线(中文正文)" w:eastAsia="等线(中文正文)"/>
          <w:b w:val="false"/>
          <w:i w:val="false"/>
          <w:sz w:val="20"/>
        </w:rPr>
        <w:t>发言人1 答：本周电解铜的开工率从58.3%回升至59.3%，表明下游加工企业对铜价的接受程度在逐步修复，预计开工率大幅下降的情况难以出现，需求方面不会带来边际利空因素。此外，随着美国232关税期限临近，跨市价差扩大，刺激美国进口抢运，进一步压缩非美地区现货流动性。</w:t>
      </w:r>
    </w:p>
    <w:p>
      <w:r>
        <w:rPr>
          <w:rFonts w:ascii="等线(中文正文)" w:hAnsi="等线(中文正文)" w:cs="等线(中文正文)" w:eastAsia="等线(中文正文)"/>
          <w:b w:val="false"/>
          <w:i w:val="false"/>
          <w:sz w:val="20"/>
        </w:rPr>
        <w:t/>
      </w:r>
    </w:p>
    <w:p>
      <w:pPr>
        <w:pStyle w:val="ab"/>
      </w:pPr>
      <w:r>
        <w:t>发言人1 问：对于铜价走势，有哪些积极因素可以期待？在铜的相关标的方面，有哪些可以关注的？</w:t>
      </w:r>
    </w:p>
    <w:p>
      <w:r>
        <w:rPr>
          <w:rFonts w:ascii="等线(中文正文)" w:hAnsi="等线(中文正文)" w:cs="等线(中文正文)" w:eastAsia="等线(中文正文)"/>
          <w:b w:val="false"/>
          <w:i w:val="false"/>
          <w:sz w:val="20"/>
        </w:rPr>
        <w:t>发言人1 答：可以期待金融属性的修复对铜价的推动作用，尤其是在金价表现疲软时，金融属性曾提供较强支撑。目前成本支撑作用减弱，更多关注金融属性修复能将铜价带到什么位置。如果流动性恢复，铜价有机会达到16000元左右，可能会在14000至16000元区间内波动。可以继续关注西藏的一些同行标的，如西部矿业、藏格中国、黄金国际等。同时，港股中的中国有色矿业和五矿资源等估值较低的公司也值得留意。</w:t>
      </w:r>
    </w:p>
    <w:p>
      <w:r>
        <w:rPr>
          <w:rFonts w:ascii="等线(中文正文)" w:hAnsi="等线(中文正文)" w:cs="等线(中文正文)" w:eastAsia="等线(中文正文)"/>
          <w:b w:val="false"/>
          <w:i w:val="false"/>
          <w:sz w:val="20"/>
        </w:rPr>
        <w:t/>
      </w:r>
    </w:p>
    <w:p>
      <w:pPr>
        <w:pStyle w:val="ab"/>
      </w:pPr>
      <w:r>
        <w:t>发言人1 问：锂板块最新情况如何？</w:t>
      </w:r>
    </w:p>
    <w:p>
      <w:r>
        <w:rPr>
          <w:rFonts w:ascii="等线(中文正文)" w:hAnsi="等线(中文正文)" w:cs="等线(中文正文)" w:eastAsia="等线(中文正文)"/>
          <w:b w:val="false"/>
          <w:i w:val="false"/>
          <w:sz w:val="20"/>
        </w:rPr>
        <w:t>发言人1 答：本周锂价明显修复，现货价格重回15万元/吨以上。当前市场关注的是本轮上涨能否持续、高点能达到多少以及2027年后价格走势。我们的核心判断是需求旺季正在兑现，供给恢复慢于预期，库存持续去化，行业仍处于偏紧格局。预计短期内锂价将保持强势，长期供需情况将在金巴锂矿复产及南美进口边际补充等因素影响下进一步明朗。</w:t>
      </w:r>
    </w:p>
    <w:p>
      <w:r>
        <w:rPr>
          <w:rFonts w:ascii="等线(中文正文)" w:hAnsi="等线(中文正文)" w:cs="等线(中文正文)" w:eastAsia="等线(中文正文)"/>
          <w:b w:val="false"/>
          <w:i w:val="false"/>
          <w:sz w:val="20"/>
        </w:rPr>
        <w:t/>
      </w:r>
    </w:p>
    <w:p>
      <w:pPr>
        <w:pStyle w:val="ab"/>
      </w:pPr>
      <w:r>
        <w:t>发言人1 问：在七月到8月期间，国内部分联场集中检修导致供给恢复整体慢于需求增量。这期间有哪些关键的扰动因素？</w:t>
      </w:r>
    </w:p>
    <w:p>
      <w:r>
        <w:rPr>
          <w:rFonts w:ascii="等线(中文正文)" w:hAnsi="等线(中文正文)" w:cs="等线(中文正文)" w:eastAsia="等线(中文正文)"/>
          <w:b w:val="false"/>
          <w:i w:val="false"/>
          <w:sz w:val="20"/>
        </w:rPr>
        <w:t>发言人1 答：这个时间段有两个重点跟踪的扰动因素。一是京巴铝金矿在八月份陆续到岗，二是锂盐产业的逐步恢复，如中矿年产3万吨的产线已恢复生产，年产3.5万吨的产线也在逐步恢复。这些因素可能导致八月底到9月初供给回升，引起盘面波动。</w:t>
      </w:r>
    </w:p>
    <w:p>
      <w:r>
        <w:rPr>
          <w:rFonts w:ascii="等线(中文正文)" w:hAnsi="等线(中文正文)" w:cs="等线(中文正文)" w:eastAsia="等线(中文正文)"/>
          <w:b w:val="false"/>
          <w:i w:val="false"/>
          <w:sz w:val="20"/>
        </w:rPr>
        <w:t/>
      </w:r>
    </w:p>
    <w:p>
      <w:pPr>
        <w:pStyle w:val="ab"/>
      </w:pPr>
      <w:r>
        <w:t>发言人1 问：库存指标如何反映当前市场格局，并且对未来锂价有何影响？库存维度对未来市场有何影响？</w:t>
      </w:r>
    </w:p>
    <w:p>
      <w:r>
        <w:rPr>
          <w:rFonts w:ascii="等线(中文正文)" w:hAnsi="等线(中文正文)" w:cs="等线(中文正文)" w:eastAsia="等线(中文正文)"/>
          <w:b w:val="false"/>
          <w:i w:val="false"/>
          <w:sz w:val="20"/>
        </w:rPr>
        <w:t>发言人1 答：这一周SIN大样本库存已降至9.39万吨，环比减少约7200吨，产业链全面去库。库存下降表明当期需求已转化为真实的消耗，随着可流通库存减少，价格对供给延迟采购补库和旺季排产变化将更加敏感。因此，我们看好三季度至四季度初的锂价表现，尽管八月底到9月初可能会受到京巴矿的影响，但需求旺盛和库存低位背景下，短期扰动不会改变供应偏紧的主线。若下半年库存持续去化且以较低水平进入明年，行业应对供给扰动的缓冲能力将下降。一旦需求继续超预期或新项目爬产不及预期，价格对边际缺口的反应可能更为明显，价格中枢有望得到进一步支撑。总体来看，短期是需求旺盛、供给兑现延迟和库存持续去化，长期则是需求增速仍有上修空间而供给增量存在兑现风险。八月底到9月初的供给恢复可能会带来阶段性扰动，但更可能体现为去库速度放缓而非供需格局反转。</w:t>
      </w:r>
    </w:p>
    <w:p>
      <w:r>
        <w:rPr>
          <w:rFonts w:ascii="等线(中文正文)" w:hAnsi="等线(中文正文)" w:cs="等线(中文正文)" w:eastAsia="等线(中文正文)"/>
          <w:b w:val="false"/>
          <w:i w:val="false"/>
          <w:sz w:val="20"/>
        </w:rPr>
        <w:t/>
      </w:r>
    </w:p>
    <w:p>
      <w:pPr>
        <w:pStyle w:val="ab"/>
      </w:pPr>
      <w:r>
        <w:t>发言人1 问：从长期来看，锂的需求端前景如何？</w:t>
      </w:r>
    </w:p>
    <w:p>
      <w:r>
        <w:rPr>
          <w:rFonts w:ascii="等线(中文正文)" w:hAnsi="等线(中文正文)" w:cs="等线(中文正文)" w:eastAsia="等线(中文正文)"/>
          <w:b w:val="false"/>
          <w:i w:val="false"/>
          <w:sz w:val="20"/>
        </w:rPr>
        <w:t>发言人1 答：从长远角度看，需求端的中长期逻辑值得期待。例如，宁德时代表示五年维度内能实现年均20%到30%的复合增长，且2027年的增长会更好。动力、储能以及国内外市场均有支撑。龙头企业对于明年需求的表述强于市场此前的弱预期，说明当前旺盛需求并非仅由消费税和出口退税带来的短期前置效应。</w:t>
      </w:r>
    </w:p>
    <w:p>
      <w:r>
        <w:rPr>
          <w:rFonts w:ascii="等线(中文正文)" w:hAnsi="等线(中文正文)" w:cs="等线(中文正文)" w:eastAsia="等线(中文正文)"/>
          <w:b w:val="false"/>
          <w:i w:val="false"/>
          <w:sz w:val="20"/>
        </w:rPr>
        <w:t/>
      </w:r>
    </w:p>
    <w:p>
      <w:pPr>
        <w:pStyle w:val="ab"/>
      </w:pPr>
      <w:r>
        <w:t>发言人1 问：政策层面对于储能和电动汽车的发展有何量化指引？</w:t>
      </w:r>
    </w:p>
    <w:p>
      <w:r>
        <w:rPr>
          <w:rFonts w:ascii="等线(中文正文)" w:hAnsi="等线(中文正文)" w:cs="等线(中文正文)" w:eastAsia="等线(中文正文)"/>
          <w:b w:val="false"/>
          <w:i w:val="false"/>
          <w:sz w:val="20"/>
        </w:rPr>
        <w:t>发言人1 答：政策端明确提出新型电力系统建设的十五五规划，储能装机将从2025年的1.36亿千瓦提升至2030年的3亿千瓦，新增约1.6亿千瓦；同时充电基础设施也要大幅度增长，以支撑超过1亿辆电动汽车的充电服务能力。此外，《碳达峰行动方案》提出到2030年新能源汽车保有量占比力争达到30%，这意味着储能和动力需求在未来五年内有较强政策和产业支撑。</w:t>
      </w:r>
    </w:p>
    <w:p>
      <w:r>
        <w:rPr>
          <w:rFonts w:ascii="等线(中文正文)" w:hAnsi="等线(中文正文)" w:cs="等线(中文正文)" w:eastAsia="等线(中文正文)"/>
          <w:b w:val="false"/>
          <w:i w:val="false"/>
          <w:sz w:val="20"/>
        </w:rPr>
        <w:t/>
      </w:r>
    </w:p>
    <w:p>
      <w:pPr>
        <w:pStyle w:val="ab"/>
      </w:pPr>
      <w:r>
        <w:t>发言人1 问：对于明年锂供需格局的预期是怎样的？</w:t>
      </w:r>
    </w:p>
    <w:p>
      <w:r>
        <w:rPr>
          <w:rFonts w:ascii="等线(中文正文)" w:hAnsi="等线(中文正文)" w:cs="等线(中文正文)" w:eastAsia="等线(中文正文)"/>
          <w:b w:val="false"/>
          <w:i w:val="false"/>
          <w:sz w:val="20"/>
        </w:rPr>
        <w:t>发言人1 答：根据供需模型测算，预计2027年全球锂供给增速约为20%，而需求增速在20%到25%区间，明年大概率仍处于紧平衡状态。不过，供给增量的兑现存在较大不确定性，受多种因素影响，而需求增速相对确定。若需求超预期且供给项目推进不及预期，明年实际供需格局可能会比当前预测更为紧张。</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2026-08-16T14:41:03Z</dcterms:created>
  <dc:creator>Apache POI</dc:creator>
</cp:coreProperties>
</file>