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东财地产半月谈_从乌鲁木齐楼市看房价与租售比韧性背后的供需格局 260816_导读</w:t>
      </w:r>
    </w:p>
    <w:p>
      <w:pPr>
        <w:pStyle w:val="a0"/>
        <w:jc w:val="center"/>
      </w:pPr>
      <w:r>
        <w:t>2026年08月16日 22:38</w:t>
      </w:r>
    </w:p>
    <w:p>
      <w:pPr>
        <w:pStyle w:val="a7"/>
      </w:pPr>
      <w:r>
        <w:t>关键词</w:t>
      </w:r>
    </w:p>
    <w:p>
      <w:r>
        <w:rPr>
          <w:rFonts w:ascii="等线(中文正文)" w:hAnsi="等线(中文正文)" w:cs="等线(中文正文)" w:eastAsia="等线(中文正文)"/>
          <w:b w:val="false"/>
          <w:i w:val="false"/>
          <w:sz w:val="20"/>
        </w:rPr>
        <w:t xml:space="preserve">租售比 乌鲁木齐 房价 新房 二手房 租金 收入 人口 产业 政策 土地市场 供需结构 泡沫 稳定性 一带一路 品质 租赁需求 高端租赁 中资高管 产业集群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乌鲁木齐楼市展现出了稳定的态势与较高的租售比，这主要归因于15至16年间房价适度上涨，未经历全国性的快速上涨，从而抑制了投机情绪，减少了市场泡沫。当地的租金增长与居民收入水平正相关，表明市场内自住需求稳固。作为“一带一路”的关键节点，乌鲁木齐吸引了大量外来人口与投资，促进了房地产市场的繁荣。楼市的韧性还体现在新房和二手房市场的持续稳定增长，交易以改善型需求为主，新房市场呈现品质提升的缩量态势。这种稳定性和高租售比是供需平衡、政策支持以及人口红利共同作用的结果，彰显了乌鲁木齐房地产市场的健康发展潜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乌鲁木齐楼市坚挺原因及租售比分析</w:t>
      </w:r>
    </w:p>
    <w:p>
      <w:r>
        <w:rPr>
          <w:rFonts w:ascii="等线(中文正文)" w:hAnsi="等线(中文正文)" w:cs="等线(中文正文)" w:eastAsia="等线(中文正文)"/>
          <w:b w:val="false"/>
          <w:i w:val="false"/>
          <w:sz w:val="20"/>
        </w:rPr>
        <w:t>对话讨论了乌鲁木齐在楼市调整期表现坚挺的原因，指出其地缘政治背景和较低的房价基数导致投资投机情绪不强，楼市泡沫较小。乌鲁木齐租售比高的核心在于其房价基数较低，与东部城市相比，乌鲁木齐新房价格均值在1万左右，而东部城市多在四五万以上，因此形成了较高的租售比。</w:t>
      </w:r>
    </w:p>
    <w:p>
      <w:r>
        <w:rPr>
          <w:rFonts w:ascii="等线(中文正文)" w:hAnsi="等线(中文正文)" w:cs="等线(中文正文)" w:eastAsia="等线(中文正文)"/>
          <w:b w:val="false"/>
          <w:i w:val="false"/>
          <w:sz w:val="20"/>
        </w:rPr>
        <w:t/>
      </w:r>
    </w:p>
    <w:p>
      <w:pPr>
        <w:pStyle w:val="ab"/>
        <w:numPr>
          <w:numId w:val="2"/>
        </w:numPr>
      </w:pPr>
      <w:r>
        <w:t>01:24 租金与收入关系及乌鲁木齐市场特点分析</w:t>
      </w:r>
    </w:p>
    <w:p>
      <w:r>
        <w:rPr>
          <w:rFonts w:ascii="等线(中文正文)" w:hAnsi="等线(中文正文)" w:cs="等线(中文正文)" w:eastAsia="等线(中文正文)"/>
          <w:b w:val="false"/>
          <w:i w:val="false"/>
          <w:sz w:val="20"/>
        </w:rPr>
        <w:t>租金价格主要由当地收入水平决定，收入上涨租金亦随之上涨。乌鲁木齐因一带一路背景及外来企业投资，吸引了高收入外派高管，导致租金定价高于本土居民水平，使得该市场租售比高于其他城市，房价也相对坚挺。</w:t>
      </w:r>
    </w:p>
    <w:p>
      <w:r>
        <w:rPr>
          <w:rFonts w:ascii="等线(中文正文)" w:hAnsi="等线(中文正文)" w:cs="等线(中文正文)" w:eastAsia="等线(中文正文)"/>
          <w:b w:val="false"/>
          <w:i w:val="false"/>
          <w:sz w:val="20"/>
        </w:rPr>
        <w:t/>
      </w:r>
    </w:p>
    <w:p>
      <w:pPr>
        <w:pStyle w:val="ab"/>
        <w:numPr>
          <w:numId w:val="3"/>
        </w:numPr>
      </w:pPr>
      <w:r>
        <w:t>03:08 全国楼市底部与实际租售比关系分析</w:t>
      </w:r>
    </w:p>
    <w:p>
      <w:r>
        <w:rPr>
          <w:rFonts w:ascii="等线(中文正文)" w:hAnsi="等线(中文正文)" w:cs="等线(中文正文)" w:eastAsia="等线(中文正文)"/>
          <w:b w:val="false"/>
          <w:i w:val="false"/>
          <w:sz w:val="20"/>
        </w:rPr>
        <w:t>对话讨论了全国范围内楼市的底部特征，指出实际租售比在二点几区间时，楼市趋于稳定。上海低总价房产租售比约2到2.5，空置风险低，已触底；东北地区租售比3到4，但实际收益率仍约二点几。低端级城市楼市已企稳，而高端级城市部分样本仍在补跌。乌鲁木齐等地实际租售比考虑成本后也约二点几，显示楼市逐步企稳迹象，对未来楼市持谨慎乐观态度。</w:t>
      </w:r>
    </w:p>
    <w:p>
      <w:r>
        <w:rPr>
          <w:rFonts w:ascii="等线(中文正文)" w:hAnsi="等线(中文正文)" w:cs="等线(中文正文)" w:eastAsia="等线(中文正文)"/>
          <w:b w:val="false"/>
          <w:i w:val="false"/>
          <w:sz w:val="20"/>
        </w:rPr>
        <w:t/>
      </w:r>
    </w:p>
    <w:p>
      <w:pPr>
        <w:pStyle w:val="ab"/>
        <w:numPr>
          <w:numId w:val="4"/>
        </w:numPr>
      </w:pPr>
      <w:r>
        <w:t>04:28 乌鲁木齐楼市现状与趋势分析</w:t>
      </w:r>
    </w:p>
    <w:p>
      <w:r>
        <w:rPr>
          <w:rFonts w:ascii="等线(中文正文)" w:hAnsi="等线(中文正文)" w:cs="等线(中文正文)" w:eastAsia="等线(中文正文)"/>
          <w:b w:val="false"/>
          <w:i w:val="false"/>
          <w:sz w:val="20"/>
        </w:rPr>
        <w:t>对话详细分析了乌鲁木齐楼市的现状，包括新房、二手房和租赁市场的价格走势及成交量。乌鲁木齐楼市表现出价格韧性，新房和二手房成交量稳定增长，成交结构以改善型需求为主。此外，乌鲁木齐楼市的健康供需结构、政策红利、人口流入等因素共同支撑了楼市的稳定发展。</w:t>
      </w:r>
    </w:p>
    <w:p>
      <w:r>
        <w:rPr>
          <w:rFonts w:ascii="等线(中文正文)" w:hAnsi="等线(中文正文)" w:cs="等线(中文正文)" w:eastAsia="等线(中文正文)"/>
          <w:b w:val="false"/>
          <w:i w:val="false"/>
          <w:sz w:val="20"/>
        </w:rPr>
        <w:t/>
      </w:r>
    </w:p>
    <w:p>
      <w:pPr>
        <w:pStyle w:val="ab"/>
        <w:numPr>
          <w:numId w:val="5"/>
        </w:numPr>
      </w:pPr>
      <w:r>
        <w:t>06:22 乌鲁木齐楼市现状与未来趋势分析</w:t>
      </w:r>
    </w:p>
    <w:p>
      <w:r>
        <w:rPr>
          <w:rFonts w:ascii="等线(中文正文)" w:hAnsi="等线(中文正文)" w:cs="等线(中文正文)" w:eastAsia="等线(中文正文)"/>
          <w:b w:val="false"/>
          <w:i w:val="false"/>
          <w:sz w:val="20"/>
        </w:rPr>
        <w:t>对话深入探讨了乌鲁木齐上半年新房市场成交情况，指出核心区域项目因产品力、交通及学区等优势成交良好，而尾盘现房去化较差。土地市场缩量提质，住宅用地成交面积及土地出让金同比大幅下滑，新增土拍聚焦核心区域，由本土企业主导，提升新房品质。会展及高铁片区项目在产品迭代和资源获取上优于前，支撑楼市稳定。</w:t>
      </w:r>
    </w:p>
    <w:p>
      <w:r>
        <w:rPr>
          <w:rFonts w:ascii="等线(中文正文)" w:hAnsi="等线(中文正文)" w:cs="等线(中文正文)" w:eastAsia="等线(中文正文)"/>
          <w:b w:val="false"/>
          <w:i w:val="false"/>
          <w:sz w:val="20"/>
        </w:rPr>
        <w:t/>
      </w:r>
    </w:p>
    <w:p>
      <w:pPr>
        <w:pStyle w:val="ab"/>
        <w:numPr>
          <w:numId w:val="6"/>
        </w:numPr>
      </w:pPr>
      <w:r>
        <w:t>08:55 乌鲁木齐房价韧性分析：供需结构与产业支撑</w:t>
      </w:r>
    </w:p>
    <w:p>
      <w:r>
        <w:rPr>
          <w:rFonts w:ascii="等线(中文正文)" w:hAnsi="等线(中文正文)" w:cs="等线(中文正文)" w:eastAsia="等线(中文正文)"/>
          <w:b w:val="false"/>
          <w:i w:val="false"/>
          <w:sz w:val="20"/>
        </w:rPr>
        <w:t>对话讨论了乌鲁木齐上半年二手房成交态势，指出90平以下小户型成交为主，与改善型新房需求错位。分析认为，良好的供需结构和产业支撑是房价具韧性原因，尤其一带一路核心枢纽地位促进产业集群发展，带动外来高收入岗位流入，支撑核心片区购房需求。高端租赁需求支撑租金溢价，会展区、经开区租售比高于普通住宅。未来乌鲁木齐作为新疆核心增长极，强首府战略下，人口和产业将持续聚焦，房价预期平稳。</w:t>
      </w:r>
    </w:p>
    <w:p>
      <w:r>
        <w:rPr>
          <w:rFonts w:ascii="等线(中文正文)" w:hAnsi="等线(中文正文)" w:cs="等线(中文正文)" w:eastAsia="等线(中文正文)"/>
          <w:b w:val="false"/>
          <w:i w:val="false"/>
          <w:sz w:val="20"/>
        </w:rPr>
        <w:t/>
      </w:r>
    </w:p>
    <w:p>
      <w:pPr>
        <w:pStyle w:val="ab"/>
        <w:numPr>
          <w:numId w:val="7"/>
        </w:numPr>
      </w:pPr>
      <w:r>
        <w:t>11:36 西部城市房价韧性与人口流入关系分析</w:t>
      </w:r>
    </w:p>
    <w:p>
      <w:r>
        <w:rPr>
          <w:rFonts w:ascii="等线(中文正文)" w:hAnsi="等线(中文正文)" w:cs="等线(中文正文)" w:eastAsia="等线(中文正文)"/>
          <w:b w:val="false"/>
          <w:i w:val="false"/>
          <w:sz w:val="20"/>
        </w:rPr>
        <w:t>对话探讨了西部地区如乌鲁木齐、成都、西安等城市房价表现的韧性，指出这些城市因人口持续流入和本地自住需求为主导，形成了房价的稳定支撑。此外，西北地区以银川、兰州为代表的省会城市，由于前期房价炒作热度不高，估值泡沫小，新房供给以本地房企为主，需求以本地购房为主，市场波动较小，土地出让节奏可控，避免了大规模新增供给对市场的冲击。</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他讨论了乌鲁木齐楼市的稳定性和高租售比现象，强调了2015至2016年间房价适度上涨，缺乏投机情绪，导致市场泡沫较小。指出低房价基数和较高的居民收入水平支撑了高租售比现象。作为一带一路的枢纽城市，乌鲁木齐吸引了大量外来企业和人口流入，这对支撑房价起到了积极作用。尽管面临全国楼市调整，乌鲁木齐市场依然保持相对稳定，新房价格稳定在1万元左右，高租售比显示出市场韧性和潜在价值。他还分析了乌鲁木齐新房和二手房市场的特点，认为供需结构健康、人口红利和产业集群对房价有积极影响。</w:t>
      </w:r>
    </w:p>
    <w:p>
      <w:r>
        <w:rPr>
          <w:rFonts w:ascii="等线(中文正文)" w:hAnsi="等线(中文正文)" w:cs="等线(中文正文)" w:eastAsia="等线(中文正文)"/>
          <w:b w:val="false"/>
          <w:i w:val="false"/>
          <w:sz w:val="20"/>
        </w:rPr>
        <w:t/>
      </w:r>
    </w:p>
    <w:p>
      <w:pPr>
        <w:pStyle w:val="a7"/>
      </w:pPr>
      <w:r>
        <w:t>要点回顾</w:t>
      </w:r>
    </w:p>
    <w:p>
      <w:pPr>
        <w:pStyle w:val="ab"/>
      </w:pPr>
      <w:r>
        <w:t>在本轮楼市调整期中，为什么西北部城市的楼市尤其是乌鲁木齐表现得更为坚挺，租售比也较高？乌鲁木齐租售比高的另一个原因是什么？</w:t>
      </w:r>
    </w:p>
    <w:p>
      <w:r>
        <w:rPr>
          <w:rFonts w:ascii="等线(中文正文)" w:hAnsi="等线(中文正文)" w:cs="等线(中文正文)" w:eastAsia="等线(中文正文)"/>
          <w:b w:val="false"/>
          <w:i w:val="false"/>
          <w:sz w:val="20"/>
        </w:rPr>
        <w:t>发言人1：乌鲁木齐租售比高的主要原因在于其在15到16年那一轮房价上涨期间，由于地缘政治等因素的影响，房价涨幅相比全国其他城市较低，仅从六千多涨到八千多。这导致了乌鲁木齐楼市投资和投机情绪并不严重，没有形成大规模泡沫。此外，乌鲁木齐房价基数较低，目前新房价格维持在不到1万，相比长三角、北京周边及杭州、南京、苏州等地，房价较低，从而形成了较高的租售比。乌鲁木齐租售比高的另一原因是外来人口及外派高管群体的租金支付能力较强。在其他城市基建发展相对收缩的背景下，乌鲁木齐的基建仍在发展期，吸引了大量外来人口，特别是来自一带一路背景下的企业高管，他们的高收入使他们能支付高于当地水平的租金，从而推高了整体租金价格，形成部分房源租金高于当地平均水平的现象。</w:t>
      </w:r>
    </w:p>
    <w:p>
      <w:r>
        <w:rPr>
          <w:rFonts w:ascii="等线(中文正文)" w:hAnsi="等线(中文正文)" w:cs="等线(中文正文)" w:eastAsia="等线(中文正文)"/>
          <w:b w:val="false"/>
          <w:i w:val="false"/>
          <w:sz w:val="20"/>
        </w:rPr>
        <w:t/>
      </w:r>
    </w:p>
    <w:p>
      <w:pPr>
        <w:pStyle w:val="ab"/>
      </w:pPr>
      <w:r>
        <w:t>租金水平是如何与当地收入水平关联的？</w:t>
      </w:r>
    </w:p>
    <w:p>
      <w:r>
        <w:rPr>
          <w:rFonts w:ascii="等线(中文正文)" w:hAnsi="等线(中文正文)" w:cs="等线(中文正文)" w:eastAsia="等线(中文正文)"/>
          <w:b w:val="false"/>
          <w:i w:val="false"/>
          <w:sz w:val="20"/>
        </w:rPr>
        <w:t>发言人1：租金价格更多地依据于当地居民的收入水平。无论是海外还是国内的一二线城市，租金的价格分位数或实际感受均与当地收入成正比关系。随着收入的增长，租金也会相应上涨；而收入下降时，租金则可能有所调整。因此，在乌鲁木齐，较低的房价使得房租成本占收入的比例相对较高，进一步推高了租售比。</w:t>
      </w:r>
    </w:p>
    <w:p>
      <w:r>
        <w:rPr>
          <w:rFonts w:ascii="等线(中文正文)" w:hAnsi="等线(中文正文)" w:cs="等线(中文正文)" w:eastAsia="等线(中文正文)"/>
          <w:b w:val="false"/>
          <w:i w:val="false"/>
          <w:sz w:val="20"/>
        </w:rPr>
        <w:t/>
      </w:r>
    </w:p>
    <w:p>
      <w:pPr>
        <w:pStyle w:val="ab"/>
      </w:pPr>
      <w:r>
        <w:t>全国范围内的租售比情况如何，以及它对于判断楼市底部有何意义？</w:t>
      </w:r>
    </w:p>
    <w:p>
      <w:r>
        <w:rPr>
          <w:rFonts w:ascii="等线(中文正文)" w:hAnsi="等线(中文正文)" w:cs="等线(中文正文)" w:eastAsia="等线(中文正文)"/>
          <w:b w:val="false"/>
          <w:i w:val="false"/>
          <w:sz w:val="20"/>
        </w:rPr>
        <w:t>发言人1：全国范围内，名义租售比在三年级（考虑空置、物业费等持有成本后的实际租售比）大约在二点几的区间，如上海的部分低总价房源租售比也接近这一水平。这意味着，在全国楼市范围内，当实际租售比降至二点几时，通常可以视为楼市逐步企稳的信号。例如，上海、北京等城市的低总价房源已经逐步起稳，而部分三四线城市的租售比已超过3，经过调整后实际租售比也降至二点几，显示出这些城市的楼市已开始企稳。因此，当实际租售比达到二点几时，基本可以判断楼市已进入底部区间。</w:t>
      </w:r>
    </w:p>
    <w:p>
      <w:r>
        <w:rPr>
          <w:rFonts w:ascii="等线(中文正文)" w:hAnsi="等线(中文正文)" w:cs="等线(中文正文)" w:eastAsia="等线(中文正文)"/>
          <w:b w:val="false"/>
          <w:i w:val="false"/>
          <w:sz w:val="20"/>
        </w:rPr>
        <w:t/>
      </w:r>
    </w:p>
    <w:p>
      <w:pPr>
        <w:pStyle w:val="ab"/>
      </w:pPr>
      <w:r>
        <w:t>乌鲁木齐上半年新房市场的表现如何？</w:t>
      </w:r>
    </w:p>
    <w:p>
      <w:r>
        <w:rPr>
          <w:rFonts w:ascii="等线(中文正文)" w:hAnsi="等线(中文正文)" w:cs="等线(中文正文)" w:eastAsia="等线(中文正文)"/>
          <w:b w:val="false"/>
          <w:i w:val="false"/>
          <w:sz w:val="20"/>
        </w:rPr>
        <w:t>发言人1：乌鲁木齐上半年新房成交约1.7万套，同比基本持平。推盘项目中平均去化率约为10%，但月均去化超过20套的楼盘占比达30%至40%。成交结构中，改善型户型（120平以上）占比45%以上，且现房尾盘去化表现相对较差。</w:t>
      </w:r>
    </w:p>
    <w:p>
      <w:r>
        <w:rPr>
          <w:rFonts w:ascii="等线(中文正文)" w:hAnsi="等线(中文正文)" w:cs="等线(中文正文)" w:eastAsia="等线(中文正文)"/>
          <w:b w:val="false"/>
          <w:i w:val="false"/>
          <w:sz w:val="20"/>
        </w:rPr>
        <w:t/>
      </w:r>
    </w:p>
    <w:p>
      <w:pPr>
        <w:pStyle w:val="ab"/>
      </w:pPr>
      <w:r>
        <w:t>乌鲁木齐楼市近几年的整体情况如何？乌鲁木齐楼市当前的发展特点是什么？</w:t>
      </w:r>
    </w:p>
    <w:p>
      <w:r>
        <w:rPr>
          <w:rFonts w:ascii="等线(中文正文)" w:hAnsi="等线(中文正文)" w:cs="等线(中文正文)" w:eastAsia="等线(中文正文)"/>
          <w:b w:val="false"/>
          <w:i w:val="false"/>
          <w:sz w:val="20"/>
        </w:rPr>
        <w:t>发言人1：近几年乌鲁木齐楼市整体保持相对平稳，新房和二手房量价都维持稳定增长，成交结构以改善为主导，区域内部显著分化。价格韧性较强，新房价格环比持续正增长，优于部分二线城市和高能级城市。乌鲁木齐楼市当前的特点是整体市场稳定，新房与二手房量价齐增，成交以改善型为主，且市场内部存在明显分化。同时，乌鲁木齐房价背后的韧性并非偶然现象，而是供需结构健康、政策红利以及区域资源集中等多重因素叠加的结果。</w:t>
      </w:r>
    </w:p>
    <w:p>
      <w:r>
        <w:rPr>
          <w:rFonts w:ascii="等线(中文正文)" w:hAnsi="等线(中文正文)" w:cs="等线(中文正文)" w:eastAsia="等线(中文正文)"/>
          <w:b w:val="false"/>
          <w:i w:val="false"/>
          <w:sz w:val="20"/>
        </w:rPr>
        <w:t/>
      </w:r>
    </w:p>
    <w:p>
      <w:pPr>
        <w:pStyle w:val="ab"/>
      </w:pPr>
      <w:r>
        <w:t>乌鲁木齐楼市的具体成交结构是怎样的？</w:t>
      </w:r>
    </w:p>
    <w:p>
      <w:r>
        <w:rPr>
          <w:rFonts w:ascii="等线(中文正文)" w:hAnsi="等线(中文正文)" w:cs="等线(中文正文)" w:eastAsia="等线(中文正文)"/>
          <w:b w:val="false"/>
          <w:i w:val="false"/>
          <w:sz w:val="20"/>
        </w:rPr>
        <w:t>发言人1：乌鲁木齐新房与二手房成交比例大约为1比2，月均成交量分别在1000-2000套和3000-4000套左右。相比深圳，乌鲁木齐的人口规模远小于深圳，但楼市成交量较大，反映出除本地需求外，大量新疆省内及周边地区的居民流入乌鲁木齐支撑了楼市活跃度。</w:t>
      </w:r>
    </w:p>
    <w:p>
      <w:r>
        <w:rPr>
          <w:rFonts w:ascii="等线(中文正文)" w:hAnsi="等线(中文正文)" w:cs="等线(中文正文)" w:eastAsia="等线(中文正文)"/>
          <w:b w:val="false"/>
          <w:i w:val="false"/>
          <w:sz w:val="20"/>
        </w:rPr>
        <w:t/>
      </w:r>
    </w:p>
    <w:p>
      <w:pPr>
        <w:pStyle w:val="ab"/>
      </w:pPr>
      <w:r>
        <w:t>乌鲁木齐二手房市场的情况怎样？</w:t>
      </w:r>
    </w:p>
    <w:p>
      <w:r>
        <w:rPr>
          <w:rFonts w:ascii="等线(中文正文)" w:hAnsi="等线(中文正文)" w:cs="等线(中文正文)" w:eastAsia="等线(中文正文)"/>
          <w:b w:val="false"/>
          <w:i w:val="false"/>
          <w:sz w:val="20"/>
        </w:rPr>
        <w:t>发言人1：二手房市场今年上半年呈现小幅量增态势，成交区域以主城区和会展、石磨沟渠为主，成交户型以90平以下小户型为主，与改善型新房需求形成错位。乌鲁木齐房价韧性较强的原因还在于良好的供需结构以及产业和人口红利对整个区域的持续影响。</w:t>
      </w:r>
    </w:p>
    <w:p>
      <w:r>
        <w:rPr>
          <w:rFonts w:ascii="等线(中文正文)" w:hAnsi="等线(中文正文)" w:cs="等线(中文正文)" w:eastAsia="等线(中文正文)"/>
          <w:b w:val="false"/>
          <w:i w:val="false"/>
          <w:sz w:val="20"/>
        </w:rPr>
        <w:t/>
      </w:r>
    </w:p>
    <w:p>
      <w:pPr>
        <w:pStyle w:val="ab"/>
      </w:pPr>
      <w:r>
        <w:t>当前乌鲁木齐土地市场状况如何？</w:t>
      </w:r>
    </w:p>
    <w:p>
      <w:r>
        <w:rPr>
          <w:rFonts w:ascii="等线(中文正文)" w:hAnsi="等线(中文正文)" w:cs="等线(中文正文)" w:eastAsia="等线(中文正文)"/>
          <w:b w:val="false"/>
          <w:i w:val="false"/>
          <w:sz w:val="20"/>
        </w:rPr>
        <w:t>发言人1：乌鲁木齐土地市场呈现缩量提质特征，今年上半年住宅用地成交面积同比下滑超过30%，土地出让金不足30亿，较去年上半年下降50%。新增供应主要集中在会展片区、高铁片区等核心区域，土地供应收缩的同时，新房品质和区域优势得到提升。</w:t>
      </w:r>
    </w:p>
    <w:p>
      <w:r>
        <w:rPr>
          <w:rFonts w:ascii="等线(中文正文)" w:hAnsi="等线(中文正文)" w:cs="等线(中文正文)" w:eastAsia="等线(中文正文)"/>
          <w:b w:val="false"/>
          <w:i w:val="false"/>
          <w:sz w:val="20"/>
        </w:rPr>
        <w:t/>
      </w:r>
    </w:p>
    <w:p>
      <w:pPr>
        <w:pStyle w:val="ab"/>
      </w:pPr>
      <w:r>
        <w:t>乌鲁木齐房企拿地及项目现状怎样？</w:t>
      </w:r>
    </w:p>
    <w:p>
      <w:r>
        <w:rPr>
          <w:rFonts w:ascii="等线(中文正文)" w:hAnsi="等线(中文正文)" w:cs="等线(中文正文)" w:eastAsia="等线(中文正文)"/>
          <w:b w:val="false"/>
          <w:i w:val="false"/>
          <w:sz w:val="20"/>
        </w:rPr>
        <w:t>发言人1：外地房企如万科、保利等已基本退出乌鲁木齐市场，目前本土房企如琴姬、赵龙及城投等成为新增土拍主力。这些企业以自有资金拿地，注重项目品牌和品质打造，因此推出的会展片区和高铁片区新房项目无论是产品迭代还是周边配套资源都有明显进步。</w:t>
      </w:r>
    </w:p>
    <w:p>
      <w:r>
        <w:rPr>
          <w:rFonts w:ascii="等线(中文正文)" w:hAnsi="等线(中文正文)" w:cs="等线(中文正文)" w:eastAsia="等线(中文正文)"/>
          <w:b w:val="false"/>
          <w:i w:val="false"/>
          <w:sz w:val="20"/>
        </w:rPr>
        <w:t/>
      </w:r>
    </w:p>
    <w:p>
      <w:pPr>
        <w:pStyle w:val="ab"/>
      </w:pPr>
      <w:r>
        <w:t>在乌鲁木齐楼市中，外来投资和租赁需求是如何影响房价的？乌鲁木齐租金定价与主城区有何差异？</w:t>
      </w:r>
    </w:p>
    <w:p>
      <w:r>
        <w:rPr>
          <w:rFonts w:ascii="等线(中文正文)" w:hAnsi="等线(中文正文)" w:cs="等线(中文正文)" w:eastAsia="等线(中文正文)"/>
          <w:b w:val="false"/>
          <w:i w:val="false"/>
          <w:sz w:val="20"/>
        </w:rPr>
        <w:t>发言人1：外来投资占据主导，60%以上的企业为外地投资，带来了高收入岗位流入，持续推动核心片区购房需求。同时，铁路枢纽、交通便利及规划红利强化了乌鲁木齐在跨境物流和产业集群方面的优势，支撑了房价相对中长期预期。租赁需求方面，外来中资高管和私人企业主的需求对高端租赁市场的价格起到显著支撑作用，这部分需求的租金定价溢价高于主城区自有资金需求。主城区普通住宅租售比大约在3%到4%左右，而以会展区、经开区为代表的区域，对接中资高管及私人企业主需求的租金普遍在6%到7%以上。</w:t>
      </w:r>
    </w:p>
    <w:p>
      <w:r>
        <w:rPr>
          <w:rFonts w:ascii="等线(中文正文)" w:hAnsi="等线(中文正文)" w:cs="等线(中文正文)" w:eastAsia="等线(中文正文)"/>
          <w:b w:val="false"/>
          <w:i w:val="false"/>
          <w:sz w:val="20"/>
        </w:rPr>
        <w:t/>
      </w:r>
    </w:p>
    <w:p>
      <w:pPr>
        <w:pStyle w:val="ab"/>
      </w:pPr>
      <w:r>
        <w:t>乌鲁木齐房价稳定的背后原因有哪些？</w:t>
      </w:r>
    </w:p>
    <w:p>
      <w:r>
        <w:rPr>
          <w:rFonts w:ascii="等线(中文正文)" w:hAnsi="等线(中文正文)" w:cs="等线(中文正文)" w:eastAsia="等线(中文正文)"/>
          <w:b w:val="false"/>
          <w:i w:val="false"/>
          <w:sz w:val="20"/>
        </w:rPr>
        <w:t>发言人1：乌鲁木齐作为新疆唯一的核心增长极，在强首府战略下，受益于周边地区人口流入、良好的供需环境、产业集群带来的购房需求以及政策便利等因素，使得房价相对平稳。</w:t>
      </w:r>
    </w:p>
    <w:p>
      <w:r>
        <w:rPr>
          <w:rFonts w:ascii="等线(中文正文)" w:hAnsi="等线(中文正文)" w:cs="等线(中文正文)" w:eastAsia="等线(中文正文)"/>
          <w:b w:val="false"/>
          <w:i w:val="false"/>
          <w:sz w:val="20"/>
        </w:rPr>
        <w:t/>
      </w:r>
    </w:p>
    <w:p>
      <w:pPr>
        <w:pStyle w:val="ab"/>
      </w:pPr>
      <w:r>
        <w:t>除了乌鲁木齐外，其他区域房价有何相似表现及原因？</w:t>
      </w:r>
    </w:p>
    <w:p>
      <w:r>
        <w:rPr>
          <w:rFonts w:ascii="等线(中文正文)" w:hAnsi="等线(中文正文)" w:cs="等线(中文正文)" w:eastAsia="等线(中文正文)"/>
          <w:b w:val="false"/>
          <w:i w:val="false"/>
          <w:sz w:val="20"/>
        </w:rPr>
        <w:t>发言人1：西北和西部其他区域如银川、兰州等地，房价炒作热度不高，估值泡沫较小，房价收入比处于合理状态。这些城市新房供给主要由本地房企和三四线城市房企提供，购房者主要为本地及省内其他城市需求，因此在房价波动时，缺乏集中抛盘压力，土地出让节奏相对可控，远郊新增供给有限，从而避免对市场造成大规模冲击。</w:t>
      </w:r>
    </w:p>
    <w:p>
      <w:r>
        <w:rPr>
          <w:rFonts w:ascii="等线(中文正文)" w:hAnsi="等线(中文正文)" w:cs="等线(中文正文)" w:eastAsia="等线(中文正文)"/>
          <w:b w:val="false"/>
          <w:i w:val="false"/>
          <w:sz w:val="20"/>
        </w:rPr>
        <w:t/>
      </w:r>
    </w:p>
    <w:p>
      <w:pPr>
        <w:pStyle w:val="ab"/>
      </w:pPr>
      <w:r>
        <w:t>对于省内人口持续流入的中心城市，例如乌鲁木齐和成都，它们在本轮抗周期过程中的房价表现如何？</w:t>
      </w:r>
    </w:p>
    <w:p>
      <w:r>
        <w:rPr>
          <w:rFonts w:ascii="等线(中文正文)" w:hAnsi="等线(中文正文)" w:cs="等线(中文正文)" w:eastAsia="等线(中文正文)"/>
          <w:b w:val="false"/>
          <w:i w:val="false"/>
          <w:sz w:val="20"/>
        </w:rPr>
        <w:t>发言人1：乌鲁木齐和成都等中心城市，在本轮抗周期过程中，由于省内人口持续流入，自住需求为主导，房价表现出较好的支撑效果，即使面临边际房价波动，整体上房价仍具韧性。</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2026-08-16T14:41:03Z</dcterms:created>
  <dc:creator>Apache POI</dc:creator>
</cp:coreProperties>
</file>