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红利为锚，成长作帆——险资权益投资的攻守之变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保险资金 权益配置 利率中枢 负债成本 分红险 资产配置 会计准则 国家队 资本市场 浮动收益 长期护理险 养老险 401K计划 Q费 保单成本 流动性。 保险 险资 权益 分红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保险资产管理面临着在低利率环境下的机会与挑战，尤其在寿险领域，权益类资产配置比例的提升显示出行业趋势，尽管增速有所放缓，反映出市场选择的谨慎。分析了国内外保险资产管理的实践，强调监管机构通过会计准则和政策调整，引导保险公司优化资产配置，应对利率中枢下移的挑战。未来，保险资产管理将重点加大红利资产和成长性资产的配置，探索多元化的投资策略，如关注内需市场、细分行业机会，以及smart贝塔策略，以提高净投资收益率，实现更稳定的资产配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保险资金权益配置策略与市场趋势分析</w:t>
      </w:r>
    </w:p>
    <w:p>
      <w:r>
        <w:rPr>
          <w:rFonts w:ascii="等线(中文正文)" w:hAnsi="等线(中文正文)" w:cs="等线(中文正文)" w:eastAsia="等线(中文正文)"/>
          <w:b w:val="false"/>
          <w:i w:val="false"/>
          <w:sz w:val="20"/>
        </w:rPr>
        <w:t>报告探讨了低利率环境下保险资金权益配置的挑战与机遇，分析了国内外实践及最新数据，指出二季度权益配置持续增加但增速放缓，红利资产承压而其他资产表现良好，强调下半年权益市场配置机会需谨慎选择。</w:t>
      </w:r>
    </w:p>
    <w:p>
      <w:r>
        <w:rPr>
          <w:rFonts w:ascii="等线(中文正文)" w:hAnsi="等线(中文正文)" w:cs="等线(中文正文)" w:eastAsia="等线(中文正文)"/>
          <w:b w:val="false"/>
          <w:i w:val="false"/>
          <w:sz w:val="20"/>
        </w:rPr>
        <w:t/>
      </w:r>
    </w:p>
    <w:p>
      <w:pPr>
        <w:pStyle w:val="ab"/>
        <w:numPr>
          <w:numId w:val="2"/>
        </w:numPr>
      </w:pPr>
      <w:r>
        <w:t>01:44 保险资金入市与资产配置优化</w:t>
      </w:r>
    </w:p>
    <w:p>
      <w:r>
        <w:rPr>
          <w:rFonts w:ascii="等线(中文正文)" w:hAnsi="等线(中文正文)" w:cs="等线(中文正文)" w:eastAsia="等线(中文正文)"/>
          <w:b w:val="false"/>
          <w:i w:val="false"/>
          <w:sz w:val="20"/>
        </w:rPr>
        <w:t>对话围绕保险资金参与资本市场的发展变化，强调了国家政策引导下险资入市的趋势，以及保险公司在利率下行环境下面临的利差损挑战。通过优化负债端成本与增加浮动收益产品，保险公司有效管理了负债成本，同时资产端也进行了相应调整，以应对市场变化和监管要求。</w:t>
      </w:r>
    </w:p>
    <w:p>
      <w:r>
        <w:rPr>
          <w:rFonts w:ascii="等线(中文正文)" w:hAnsi="等线(中文正文)" w:cs="等线(中文正文)" w:eastAsia="等线(中文正文)"/>
          <w:b w:val="false"/>
          <w:i w:val="false"/>
          <w:sz w:val="20"/>
        </w:rPr>
        <w:t/>
      </w:r>
    </w:p>
    <w:p>
      <w:pPr>
        <w:pStyle w:val="ab"/>
        <w:numPr>
          <w:numId w:val="3"/>
        </w:numPr>
      </w:pPr>
      <w:r>
        <w:t>06:33 保险会计准则与金融市场联动影响分析</w:t>
      </w:r>
    </w:p>
    <w:p>
      <w:r>
        <w:rPr>
          <w:rFonts w:ascii="等线(中文正文)" w:hAnsi="等线(中文正文)" w:cs="等线(中文正文)" w:eastAsia="等线(中文正文)"/>
          <w:b w:val="false"/>
          <w:i w:val="false"/>
          <w:sz w:val="20"/>
        </w:rPr>
        <w:t>对话深入探讨了I9和I17会计准则联动对保险公司财务报表的影响，强调资产分类后难以重分类导致金融资产波动显著影响利润表。为应对利率中枢下降带来的负债扩张，建议加大OCI账户占比，通过债券和高分红资产配置优化资产负债匹配。同时，国家队的市场干预与平准基金属性为市场提供了稳定性，保险公司通过调整负债结构和增加浮动产品占比，以及利用权益资产作为胜负手，以适应市场变化。</w:t>
      </w:r>
    </w:p>
    <w:p>
      <w:r>
        <w:rPr>
          <w:rFonts w:ascii="等线(中文正文)" w:hAnsi="等线(中文正文)" w:cs="等线(中文正文)" w:eastAsia="等线(中文正文)"/>
          <w:b w:val="false"/>
          <w:i w:val="false"/>
          <w:sz w:val="20"/>
        </w:rPr>
        <w:t/>
      </w:r>
    </w:p>
    <w:p>
      <w:pPr>
        <w:pStyle w:val="ab"/>
        <w:numPr>
          <w:numId w:val="4"/>
        </w:numPr>
      </w:pPr>
      <w:r>
        <w:t>09:56 海外与国内保险市场对比：权益配置与资产全球化</w:t>
      </w:r>
    </w:p>
    <w:p>
      <w:r>
        <w:rPr>
          <w:rFonts w:ascii="等线(中文正文)" w:hAnsi="等线(中文正文)" w:cs="等线(中文正文)" w:eastAsia="等线(中文正文)"/>
          <w:b w:val="false"/>
          <w:i w:val="false"/>
          <w:sz w:val="20"/>
        </w:rPr>
        <w:t>对话探讨了美国与日本保险市场的差异，指出美国保险公司倾向于资产管理，通过401K计划等养老险注入长期资金，权益配置比例高达40%。日本则在低利率环境下，加大海外资产配置，如东南亚和国内高收益资产，同时增加服务型保险产品，如长期护理险，以减轻承保压力并实现全球资产分散。</w:t>
      </w:r>
    </w:p>
    <w:p>
      <w:r>
        <w:rPr>
          <w:rFonts w:ascii="等线(中文正文)" w:hAnsi="等线(中文正文)" w:cs="等线(中文正文)" w:eastAsia="等线(中文正文)"/>
          <w:b w:val="false"/>
          <w:i w:val="false"/>
          <w:sz w:val="20"/>
        </w:rPr>
        <w:t/>
      </w:r>
    </w:p>
    <w:p>
      <w:pPr>
        <w:pStyle w:val="ab"/>
        <w:numPr>
          <w:numId w:val="5"/>
        </w:numPr>
      </w:pPr>
      <w:r>
        <w:t>14:08 国内保险公司资产配置策略与差异分析</w:t>
      </w:r>
    </w:p>
    <w:p>
      <w:r>
        <w:rPr>
          <w:rFonts w:ascii="等线(中文正文)" w:hAnsi="等线(中文正文)" w:cs="等线(中文正文)" w:eastAsia="等线(中文正文)"/>
          <w:b w:val="false"/>
          <w:i w:val="false"/>
          <w:sz w:val="20"/>
        </w:rPr>
        <w:t>国内保险资金配置中，权益类资产规模达40万亿，其中股票和基金占比显著。平安倾向于购买确定性高的国央企资产，锁定稳定收益；太保偏好现金流稳定的公用事业基础设施，降低宏观经济波动影响；人保采用哑铃型结构，一头为大银行，另一头为成长性股权，实现低波动投资。</w:t>
      </w:r>
    </w:p>
    <w:p>
      <w:r>
        <w:rPr>
          <w:rFonts w:ascii="等线(中文正文)" w:hAnsi="等线(中文正文)" w:cs="等线(中文正文)" w:eastAsia="等线(中文正文)"/>
          <w:b w:val="false"/>
          <w:i w:val="false"/>
          <w:sz w:val="20"/>
        </w:rPr>
        <w:t/>
      </w:r>
    </w:p>
    <w:p>
      <w:pPr>
        <w:pStyle w:val="ab"/>
        <w:numPr>
          <w:numId w:val="6"/>
        </w:numPr>
      </w:pPr>
      <w:r>
        <w:t>18:56 保险机构资产配置与成长模式分析</w:t>
      </w:r>
    </w:p>
    <w:p>
      <w:r>
        <w:rPr>
          <w:rFonts w:ascii="等线(中文正文)" w:hAnsi="等线(中文正文)" w:cs="等线(中文正文)" w:eastAsia="等线(中文正文)"/>
          <w:b w:val="false"/>
          <w:i w:val="false"/>
          <w:sz w:val="20"/>
        </w:rPr>
        <w:t>对话探讨了国内保险机构如泰康、华泰等在资产配置与成长模式上的探索，强调通过锁定中长期负债端与成长性资产匹配，实现高收益。泰康通过养老场景拓展锁定负债，而华泰则依托管理费模式，利用三方资金进行积极配置。整体上，机构探索出以红利为主或偏成长的策略，如太保坚持稳定估值与复利投资理念，形成系统性风险管理。</w:t>
      </w:r>
    </w:p>
    <w:p>
      <w:r>
        <w:rPr>
          <w:rFonts w:ascii="等线(中文正文)" w:hAnsi="等线(中文正文)" w:cs="等线(中文正文)" w:eastAsia="等线(中文正文)"/>
          <w:b w:val="false"/>
          <w:i w:val="false"/>
          <w:sz w:val="20"/>
        </w:rPr>
        <w:t/>
      </w:r>
    </w:p>
    <w:p>
      <w:pPr>
        <w:pStyle w:val="ab"/>
        <w:numPr>
          <w:numId w:val="7"/>
        </w:numPr>
      </w:pPr>
      <w:r>
        <w:t>21:22 保险投资策略：锁定确定性资产，优化资产负债匹配</w:t>
      </w:r>
    </w:p>
    <w:p>
      <w:r>
        <w:rPr>
          <w:rFonts w:ascii="等线(中文正文)" w:hAnsi="等线(中文正文)" w:cs="等线(中文正文)" w:eastAsia="等线(中文正文)"/>
          <w:b w:val="false"/>
          <w:i w:val="false"/>
          <w:sz w:val="20"/>
        </w:rPr>
        <w:t>在利率中枢下降与新会计准则影响下，保险公司面临投资压力，但通过积极入市策略，实现投资收益率稳定在5%-7%。为应对挑战，保险公司应优先锁定股息票息等确定性资产，适当增加高分红资产配置，提高净投资收益率。同时，逐步兑现高成长资产浮盈，调整投资结构，实现资产负债匹配，优化未来中长期投资策略。二季度以来，保险公司已开始实施调结构策略，逢高减持高增长资产，增加高分红资产，稳定并提高净投资收益率，及时兑现浮盈，满足资产负债匹配要求。</w:t>
      </w:r>
    </w:p>
    <w:p>
      <w:r>
        <w:rPr>
          <w:rFonts w:ascii="等线(中文正文)" w:hAnsi="等线(中文正文)" w:cs="等线(中文正文)" w:eastAsia="等线(中文正文)"/>
          <w:b w:val="false"/>
          <w:i w:val="false"/>
          <w:sz w:val="20"/>
        </w:rPr>
        <w:t/>
      </w:r>
    </w:p>
    <w:p>
      <w:pPr>
        <w:pStyle w:val="ab"/>
        <w:numPr>
          <w:numId w:val="8"/>
        </w:numPr>
      </w:pPr>
      <w:r>
        <w:t>24:03 债券投资策略与日本经验启示</w:t>
      </w:r>
    </w:p>
    <w:p>
      <w:r>
        <w:rPr>
          <w:rFonts w:ascii="等线(中文正文)" w:hAnsi="等线(中文正文)" w:cs="等线(中文正文)" w:eastAsia="等线(中文正文)"/>
          <w:b w:val="false"/>
          <w:i w:val="false"/>
          <w:sz w:val="20"/>
        </w:rPr>
        <w:t>对话深入探讨了日本利率中枢变化对债券投资策略的影响，指出90年代至97年是债券投资的黄金期，98年至2012年则面临低收益挑战。2012年后，利率降至零，债券交易价值超过配置价值。当前，30年国债成为市场焦点，但保险公司更倾向于高票息地方债配置。未来，债券投资将呈现分层次趋势，部分险资可能交易三年期利率债和二永债，而20年以上地方债将作为优选配置品种。</w:t>
      </w:r>
    </w:p>
    <w:p>
      <w:r>
        <w:rPr>
          <w:rFonts w:ascii="等线(中文正文)" w:hAnsi="等线(中文正文)" w:cs="等线(中文正文)" w:eastAsia="等线(中文正文)"/>
          <w:b w:val="false"/>
          <w:i w:val="false"/>
          <w:sz w:val="20"/>
        </w:rPr>
        <w:t/>
      </w:r>
    </w:p>
    <w:p>
      <w:pPr>
        <w:pStyle w:val="ab"/>
        <w:numPr>
          <w:numId w:val="9"/>
        </w:numPr>
      </w:pPr>
      <w:r>
        <w:t>26:50 红利资产与成长股配置策略分析</w:t>
      </w:r>
    </w:p>
    <w:p>
      <w:r>
        <w:rPr>
          <w:rFonts w:ascii="等线(中文正文)" w:hAnsi="等线(中文正文)" w:cs="等线(中文正文)" w:eastAsia="等线(中文正文)"/>
          <w:b w:val="false"/>
          <w:i w:val="false"/>
          <w:sz w:val="20"/>
        </w:rPr>
        <w:t>讨论了加大OCA高分红资产配置的重要性，特别是A股红利，因其夏普值较高，而港股红利面临估值调整压力和汇率风险。同时，AI产业链成长股的配置比例在增加，但赛道拥挤，未来需分散投资于其他成长方向如出海、医药健康及内需领域，以平衡风险与收益。</w:t>
      </w:r>
    </w:p>
    <w:p>
      <w:r>
        <w:rPr>
          <w:rFonts w:ascii="等线(中文正文)" w:hAnsi="等线(中文正文)" w:cs="等线(中文正文)" w:eastAsia="等线(中文正文)"/>
          <w:b w:val="false"/>
          <w:i w:val="false"/>
          <w:sz w:val="20"/>
        </w:rPr>
        <w:t/>
      </w:r>
    </w:p>
    <w:p>
      <w:pPr>
        <w:pStyle w:val="ab"/>
        <w:numPr>
          <w:numId w:val="10"/>
        </w:numPr>
      </w:pPr>
      <w:r>
        <w:t>30:05 保险资金投资策略与海外市场参与度分析</w:t>
      </w:r>
    </w:p>
    <w:p>
      <w:r>
        <w:rPr>
          <w:rFonts w:ascii="等线(中文正文)" w:hAnsi="等线(中文正文)" w:cs="等线(中文正文)" w:eastAsia="等线(中文正文)"/>
          <w:b w:val="false"/>
          <w:i w:val="false"/>
          <w:sz w:val="20"/>
        </w:rPr>
        <w:t>对话探讨了保险资金在海外市场的投资策略，指出直接出海投资难度大，但可通过港股通、黄金等间接方式参与。强调了在险资配置中加大红利资产和探索smart贝塔策略的重要性，同时提及了微盘股不适合大体量险资投资的原因，提出了哑铃型投资结构的建议，一侧为中证红利指数，另一侧侧重价值和合理价格成长因子。</w:t>
      </w:r>
    </w:p>
    <w:p>
      <w:r>
        <w:rPr>
          <w:rFonts w:ascii="等线(中文正文)" w:hAnsi="等线(中文正文)" w:cs="等线(中文正文)" w:eastAsia="等线(中文正文)"/>
          <w:b w:val="false"/>
          <w:i w:val="false"/>
          <w:sz w:val="20"/>
        </w:rPr>
        <w:t/>
      </w:r>
    </w:p>
    <w:p>
      <w:pPr>
        <w:pStyle w:val="ab"/>
        <w:numPr>
          <w:numId w:val="11"/>
        </w:numPr>
      </w:pPr>
      <w:r>
        <w:t>32:36 保险投资资产配置策略与权益资产角色转变</w:t>
      </w:r>
    </w:p>
    <w:p>
      <w:r>
        <w:rPr>
          <w:rFonts w:ascii="等线(中文正文)" w:hAnsi="等线(中文正文)" w:cs="等线(中文正文)" w:eastAsia="等线(中文正文)"/>
          <w:b w:val="false"/>
          <w:i w:val="false"/>
          <w:sz w:val="20"/>
        </w:rPr>
        <w:t>对话聚焦于保险业投资资产配置，特别是权益资产的角色转变。指出随着负债端成本降低，权益资产从锦上添花转变为胜负手，但面临高票期资产不足的挑战。建议构建哑铃型结构，一端增加红利资产配置，另一端强化成长性资产，避开微盘和海外配置不足问题，转向国内寻找如spanned beta赛道和新兴成长方向。同时，需结合负债和股东结构分析，关注内需方向，为保险机构提供下半年投资策略指导。</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深入汇报了保险资金运用情况，指出保险资产管理机构在权益配置上持续增加，尤其在寿险领域，二级市场股票和基金配置比例分别达到10.5%和5.6%，显示整体配置趋势向上。尽管二季度权益市场出现结构性分化，优质资产表现强劲推动行业增加对权益市场的关注和配置。然而，他也强调了保险资金运用面临的挑战，包括利率中枢下行导致的利差损问题，以及需通过负债端成本下降等策略进行适应性调整。他分析了日本和美国保险业在资产配置上的差异，并强调了国内保险公司在负债端和资产端匹配方面的探索。最后，他建议保险公司应继续探索构建哑铃型结构，平衡稳定收益的红利资产与成长性资产配置，以适应市场和监管变化。</w:t>
      </w:r>
    </w:p>
    <w:p>
      <w:r>
        <w:rPr>
          <w:rFonts w:ascii="等线(中文正文)" w:hAnsi="等线(中文正文)" w:cs="等线(中文正文)" w:eastAsia="等线(中文正文)"/>
          <w:b w:val="false"/>
          <w:i w:val="false"/>
          <w:sz w:val="20"/>
        </w:rPr>
        <w:t/>
      </w:r>
    </w:p>
    <w:p>
      <w:pPr>
        <w:pStyle w:val="a7"/>
      </w:pPr>
      <w:r>
        <w:t>要点回顾</w:t>
      </w:r>
    </w:p>
    <w:p>
      <w:pPr>
        <w:pStyle w:val="ab"/>
      </w:pPr>
      <w:r>
        <w:t>保险资金在权益市场的配置情况如何？当前保险资金权益配置结构有何特点和变化？</w:t>
      </w:r>
    </w:p>
    <w:p>
      <w:r>
        <w:rPr>
          <w:rFonts w:ascii="等线(中文正文)" w:hAnsi="等线(中文正文)" w:cs="等线(中文正文)" w:eastAsia="等线(中文正文)"/>
          <w:b w:val="false"/>
          <w:i w:val="false"/>
          <w:sz w:val="20"/>
        </w:rPr>
        <w:t>发言人1：根据最新数据，二季度保险资金在权益市场的配置持续增加，其中寿险公司的权益配置在二级市场股票大约在10.5左右，基金配置约为5.6左右，整体呈现上行趋势。权益配置结构存在一定的结构性分化，红利资产承压但表现较好。尽管整体趋势上保险资金加大了权益配置，但在增速上有所放缓，显示出谨慎选择的态度。</w:t>
      </w:r>
    </w:p>
    <w:p>
      <w:r>
        <w:rPr>
          <w:rFonts w:ascii="等线(中文正文)" w:hAnsi="等线(中文正文)" w:cs="等线(中文正文)" w:eastAsia="等线(中文正文)"/>
          <w:b w:val="false"/>
          <w:i w:val="false"/>
          <w:sz w:val="20"/>
        </w:rPr>
        <w:t/>
      </w:r>
    </w:p>
    <w:p>
      <w:pPr>
        <w:pStyle w:val="ab"/>
      </w:pPr>
      <w:r>
        <w:t>报告将如何展开？</w:t>
      </w:r>
    </w:p>
    <w:p>
      <w:r>
        <w:rPr>
          <w:rFonts w:ascii="等线(中文正文)" w:hAnsi="等线(中文正文)" w:cs="等线(中文正文)" w:eastAsia="等线(中文正文)"/>
          <w:b w:val="false"/>
          <w:i w:val="false"/>
          <w:sz w:val="20"/>
        </w:rPr>
        <w:t>发言人1：报告将分为四个部分进行汇报：一是低利率环境下保险资金面临的机遇与挑战；二是海外经验；三是国内实践；四是结合调研与交流，分析下半年权益市场增加配置的机会。</w:t>
      </w:r>
    </w:p>
    <w:p>
      <w:r>
        <w:rPr>
          <w:rFonts w:ascii="等线(中文正文)" w:hAnsi="等线(中文正文)" w:cs="等线(中文正文)" w:eastAsia="等线(中文正文)"/>
          <w:b w:val="false"/>
          <w:i w:val="false"/>
          <w:sz w:val="20"/>
        </w:rPr>
        <w:t/>
      </w:r>
    </w:p>
    <w:p>
      <w:pPr>
        <w:pStyle w:val="ab"/>
      </w:pPr>
      <w:r>
        <w:t>近年来，保险资金参与股票市场的关注度有何变化？保险公司如何看待当前资本市场的地位变化？</w:t>
      </w:r>
    </w:p>
    <w:p>
      <w:r>
        <w:rPr>
          <w:rFonts w:ascii="等线(中文正文)" w:hAnsi="等线(中文正文)" w:cs="等线(中文正文)" w:eastAsia="等线(中文正文)"/>
          <w:b w:val="false"/>
          <w:i w:val="false"/>
          <w:sz w:val="20"/>
        </w:rPr>
        <w:t>发言人1：自20年之后，保险资金对股票市场的关注度显著增加，并且在2024年9月20日之前，保险资金提前进入资本市场，从购买高分红资产逐步转向成长性资产。保险公司在资本市场的地位比二三年之前有显著提升，拥有一定的信用背书和流动性优势，能够掌握相对无限的流动性，这使得他们在资本市场中的角色更加重要。</w:t>
      </w:r>
    </w:p>
    <w:p>
      <w:r>
        <w:rPr>
          <w:rFonts w:ascii="等线(中文正文)" w:hAnsi="等线(中文正文)" w:cs="等线(中文正文)" w:eastAsia="等线(中文正文)"/>
          <w:b w:val="false"/>
          <w:i w:val="false"/>
          <w:sz w:val="20"/>
        </w:rPr>
        <w:t/>
      </w:r>
    </w:p>
    <w:p>
      <w:pPr>
        <w:pStyle w:val="ab"/>
      </w:pPr>
      <w:r>
        <w:t>利率中枢下行对保险公司的影响是什么？</w:t>
      </w:r>
    </w:p>
    <w:p>
      <w:r>
        <w:rPr>
          <w:rFonts w:ascii="等线(中文正文)" w:hAnsi="等线(中文正文)" w:cs="等线(中文正文)" w:eastAsia="等线(中文正文)"/>
          <w:b w:val="false"/>
          <w:i w:val="false"/>
          <w:sz w:val="20"/>
        </w:rPr>
        <w:t>发言人1：利率中枢的下行导致保险公司在负债端与银行商业模式差异加大，更长的负债周期与利率下行形成矛盾，可能导致可配资产不足的问题，从而出现利差损。</w:t>
      </w:r>
    </w:p>
    <w:p>
      <w:r>
        <w:rPr>
          <w:rFonts w:ascii="等线(中文正文)" w:hAnsi="等线(中文正文)" w:cs="等线(中文正文)" w:eastAsia="等线(中文正文)"/>
          <w:b w:val="false"/>
          <w:i w:val="false"/>
          <w:sz w:val="20"/>
        </w:rPr>
        <w:t/>
      </w:r>
    </w:p>
    <w:p>
      <w:pPr>
        <w:pStyle w:val="ab"/>
      </w:pPr>
      <w:r>
        <w:t>为应对利率下行带来的挑战，监管层采取了哪些措施？</w:t>
      </w:r>
    </w:p>
    <w:p>
      <w:r>
        <w:rPr>
          <w:rFonts w:ascii="等线(中文正文)" w:hAnsi="等线(中文正文)" w:cs="等线(中文正文)" w:eastAsia="等线(中文正文)"/>
          <w:b w:val="false"/>
          <w:i w:val="false"/>
          <w:sz w:val="20"/>
        </w:rPr>
        <w:t>发言人1：监管层一方面引导负债端成本下行，例如通过控制传统寿险及增额终身寿险的边际成本；另一方面增加负债端浮动收益产品的占比，如分红险销售，构建稳定的收益预期，有效管理负债成本并实现资产端的变量化配置。</w:t>
      </w:r>
    </w:p>
    <w:p>
      <w:r>
        <w:rPr>
          <w:rFonts w:ascii="等线(中文正文)" w:hAnsi="等线(中文正文)" w:cs="等线(中文正文)" w:eastAsia="等线(中文正文)"/>
          <w:b w:val="false"/>
          <w:i w:val="false"/>
          <w:sz w:val="20"/>
        </w:rPr>
        <w:t/>
      </w:r>
    </w:p>
    <w:p>
      <w:pPr>
        <w:pStyle w:val="ab"/>
      </w:pPr>
      <w:r>
        <w:t>在资产分类方面有何新变化？</w:t>
      </w:r>
    </w:p>
    <w:p>
      <w:r>
        <w:rPr>
          <w:rFonts w:ascii="等线(中文正文)" w:hAnsi="等线(中文正文)" w:cs="等线(中文正文)" w:eastAsia="等线(中文正文)"/>
          <w:b w:val="false"/>
          <w:i w:val="false"/>
          <w:sz w:val="20"/>
        </w:rPr>
        <w:t>发言人1：现在强调资产一次计入后分类不能重分类，这使得交易性金融资产波动直接影响利润表，尤其是将大量金融资产分类到OCI账户，使得长期资产和负债匹配更为精准，有利于增强保险公司对波动性风险的管理能力。</w:t>
      </w:r>
    </w:p>
    <w:p>
      <w:r>
        <w:rPr>
          <w:rFonts w:ascii="等线(中文正文)" w:hAnsi="等线(中文正文)" w:cs="等线(中文正文)" w:eastAsia="等线(中文正文)"/>
          <w:b w:val="false"/>
          <w:i w:val="false"/>
          <w:sz w:val="20"/>
        </w:rPr>
        <w:t/>
      </w:r>
    </w:p>
    <w:p>
      <w:pPr>
        <w:pStyle w:val="ab"/>
      </w:pPr>
      <w:r>
        <w:t>I9和I17会计准则的联动本质是什么？</w:t>
      </w:r>
    </w:p>
    <w:p>
      <w:r>
        <w:rPr>
          <w:rFonts w:ascii="等线(中文正文)" w:hAnsi="等线(中文正文)" w:cs="等线(中文正文)" w:eastAsia="等线(中文正文)"/>
          <w:b w:val="false"/>
          <w:i w:val="false"/>
          <w:sz w:val="20"/>
        </w:rPr>
        <w:t>发言人1：I9和I17会计准则联动的本质在于保费按照公允价值计量，当利率中枢下降时，负债端扩张，资产端需按历史成本计量以吸收负债量的扩张，这可能导致所有者权益受损。因此，需要鼓励更多资产，特别是债券，放入OSI账户，从而增大了对OCI账户的依赖。</w:t>
      </w:r>
    </w:p>
    <w:p>
      <w:r>
        <w:rPr>
          <w:rFonts w:ascii="等线(中文正文)" w:hAnsi="等线(中文正文)" w:cs="等线(中文正文)" w:eastAsia="等线(中文正文)"/>
          <w:b w:val="false"/>
          <w:i w:val="false"/>
          <w:sz w:val="20"/>
        </w:rPr>
        <w:t/>
      </w:r>
    </w:p>
    <w:p>
      <w:pPr>
        <w:pStyle w:val="ab"/>
      </w:pPr>
      <w:r>
        <w:t>国家队如何影响保险市场？</w:t>
      </w:r>
    </w:p>
    <w:p>
      <w:r>
        <w:rPr>
          <w:rFonts w:ascii="等线(中文正文)" w:hAnsi="等线(中文正文)" w:cs="等线(中文正文)" w:eastAsia="等线(中文正文)"/>
          <w:b w:val="false"/>
          <w:i w:val="false"/>
          <w:sz w:val="20"/>
        </w:rPr>
        <w:t>发言人1：国家队提供了类似put option的支持，通过在市场恐慌时及时救助，尤其是在24年、25年以及去年贸易战期间，大量买入市场，为保险市场起到稳定作用。但在利率中枢下行背景下，对保险业构成了一定的利空影响。</w:t>
      </w:r>
    </w:p>
    <w:p>
      <w:r>
        <w:rPr>
          <w:rFonts w:ascii="等线(中文正文)" w:hAnsi="等线(中文正文)" w:cs="等线(中文正文)" w:eastAsia="等线(中文正文)"/>
          <w:b w:val="false"/>
          <w:i w:val="false"/>
          <w:sz w:val="20"/>
        </w:rPr>
        <w:t/>
      </w:r>
    </w:p>
    <w:p>
      <w:pPr>
        <w:pStyle w:val="ab"/>
      </w:pPr>
      <w:r>
        <w:t>面对这些利空，保险公司做出了哪些适应性调整？</w:t>
      </w:r>
    </w:p>
    <w:p>
      <w:r>
        <w:rPr>
          <w:rFonts w:ascii="等线(中文正文)" w:hAnsi="等线(中文正文)" w:cs="等线(中文正文)" w:eastAsia="等线(中文正文)"/>
          <w:b w:val="false"/>
          <w:i w:val="false"/>
          <w:sz w:val="20"/>
        </w:rPr>
        <w:t>发言人1：保险公司主要通过三个方面进行调整：一是利用会计准则，增加资产放入OCI账户；二是优化负债结构，有效压降负债成本并增加浮动产品的占比；三是资本市场正准平准基金及国家队的参与，给市场提供支撑，在市场下行时敢于抄底。</w:t>
      </w:r>
    </w:p>
    <w:p>
      <w:r>
        <w:rPr>
          <w:rFonts w:ascii="等线(中文正文)" w:hAnsi="等线(中文正文)" w:cs="等线(中文正文)" w:eastAsia="等线(中文正文)"/>
          <w:b w:val="false"/>
          <w:i w:val="false"/>
          <w:sz w:val="20"/>
        </w:rPr>
        <w:t/>
      </w:r>
    </w:p>
    <w:p>
      <w:pPr>
        <w:pStyle w:val="ab"/>
      </w:pPr>
      <w:r>
        <w:t>权益资产配置对保险资金的重要性体现在何处？</w:t>
      </w:r>
    </w:p>
    <w:p>
      <w:r>
        <w:rPr>
          <w:rFonts w:ascii="等线(中文正文)" w:hAnsi="等线(中文正文)" w:cs="等线(中文正文)" w:eastAsia="等线(中文正文)"/>
          <w:b w:val="false"/>
          <w:i w:val="false"/>
          <w:sz w:val="20"/>
        </w:rPr>
        <w:t>发言人1：权益资产配置从过去非标资产占比较高转变为如今的重要胜负手。在海外市场，美国保险公司更倾向于通过资产管理公司模式运作，寿险业务中健康险、寿险和养老险三大板块并行发展，其中养老险通过401K计划等方式注入长期增量资金，并显著加大了权益配置比例，达到约40%。</w:t>
      </w:r>
    </w:p>
    <w:p>
      <w:r>
        <w:rPr>
          <w:rFonts w:ascii="等线(中文正文)" w:hAnsi="等线(中文正文)" w:cs="等线(中文正文)" w:eastAsia="等线(中文正文)"/>
          <w:b w:val="false"/>
          <w:i w:val="false"/>
          <w:sz w:val="20"/>
        </w:rPr>
        <w:t/>
      </w:r>
    </w:p>
    <w:p>
      <w:pPr>
        <w:pStyle w:val="ab"/>
      </w:pPr>
      <w:r>
        <w:t>日本保险业在权益配置方面的特点是什么？</w:t>
      </w:r>
    </w:p>
    <w:p>
      <w:r>
        <w:rPr>
          <w:rFonts w:ascii="等线(中文正文)" w:hAnsi="等线(中文正文)" w:cs="等线(中文正文)" w:eastAsia="等线(中文正文)"/>
          <w:b w:val="false"/>
          <w:i w:val="false"/>
          <w:sz w:val="20"/>
        </w:rPr>
        <w:t>发言人1：日本保险业在经历长期利率下行后，减少了养老型或储蓄型保险产品的配置，转而加大海外资产配置，尤其是通过长期护理险赚取费差，并积极参与全球投资，包括美股和国内高收益资产，以此分散风险并寻找更高收益。</w:t>
      </w:r>
    </w:p>
    <w:p>
      <w:r>
        <w:rPr>
          <w:rFonts w:ascii="等线(中文正文)" w:hAnsi="等线(中文正文)" w:cs="等线(中文正文)" w:eastAsia="等线(中文正文)"/>
          <w:b w:val="false"/>
          <w:i w:val="false"/>
          <w:sz w:val="20"/>
        </w:rPr>
        <w:t/>
      </w:r>
    </w:p>
    <w:p>
      <w:pPr>
        <w:pStyle w:val="ab"/>
      </w:pPr>
      <w:r>
        <w:t>国内保险业的资产配置特点及优势是什么？</w:t>
      </w:r>
    </w:p>
    <w:p>
      <w:r>
        <w:rPr>
          <w:rFonts w:ascii="等线(中文正文)" w:hAnsi="等线(中文正文)" w:cs="等线(中文正文)" w:eastAsia="等线(中文正文)"/>
          <w:b w:val="false"/>
          <w:i w:val="false"/>
          <w:sz w:val="20"/>
        </w:rPr>
        <w:t>发言人1：国内保险业早期资产配置压力较小，因为非标资产中主要是城投和地产类投资。保险公司拥有保险人保证保单计划等基础资产来源，提供了相对稳定的资产类别。尽管如此，国内保险业也在不断探索适应新环境下的资产配置策略。</w:t>
      </w:r>
    </w:p>
    <w:p>
      <w:r>
        <w:rPr>
          <w:rFonts w:ascii="等线(中文正文)" w:hAnsi="等线(中文正文)" w:cs="等线(中文正文)" w:eastAsia="等线(中文正文)"/>
          <w:b w:val="false"/>
          <w:i w:val="false"/>
          <w:sz w:val="20"/>
        </w:rPr>
        <w:t/>
      </w:r>
    </w:p>
    <w:p>
      <w:pPr>
        <w:pStyle w:val="ab"/>
      </w:pPr>
      <w:r>
        <w:t>保险资金在权益投资方面的总体规模和配置情况如何？</w:t>
      </w:r>
    </w:p>
    <w:p>
      <w:r>
        <w:rPr>
          <w:rFonts w:ascii="等线(中文正文)" w:hAnsi="等线(中文正文)" w:cs="等线(中文正文)" w:eastAsia="等线(中文正文)"/>
          <w:b w:val="false"/>
          <w:i w:val="false"/>
          <w:sz w:val="20"/>
        </w:rPr>
        <w:t>发言人1：根据最新的数据，保险总资产配置规模已达到40万亿，其中权益规模约为20%的股票，即大约有4万亿以上的股票投资，以及5.6万亿左右的基金投资。如果不算长期股权投资，险资投入权益市场的规模可能有6万亿以上。这显示了险资在市场中是一个非常显著的增量资金来源。</w:t>
      </w:r>
    </w:p>
    <w:p>
      <w:r>
        <w:rPr>
          <w:rFonts w:ascii="等线(中文正文)" w:hAnsi="等线(中文正文)" w:cs="等线(中文正文)" w:eastAsia="等线(中文正文)"/>
          <w:b w:val="false"/>
          <w:i w:val="false"/>
          <w:sz w:val="20"/>
        </w:rPr>
        <w:t/>
      </w:r>
    </w:p>
    <w:p>
      <w:pPr>
        <w:pStyle w:val="ab"/>
      </w:pPr>
      <w:r>
        <w:t>平安保险的投资策略有何特点？</w:t>
      </w:r>
    </w:p>
    <w:p>
      <w:r>
        <w:rPr>
          <w:rFonts w:ascii="等线(中文正文)" w:hAnsi="等线(中文正文)" w:cs="等线(中文正文)" w:eastAsia="等线(中文正文)"/>
          <w:b w:val="false"/>
          <w:i w:val="false"/>
          <w:sz w:val="20"/>
        </w:rPr>
        <w:t>发言人1：平安保险较早采用I9和I17新会计准则，并从早期的经验教训中吸取教训，战略上倾向于投资最确定的资产，即大比例配置到像国央企属性的银行和部分同业保险公司等较为稳健的资产上。他们将大量资金投入A股并配置到OCN账户上，在港股也进一步增加配置，总体上以基础设施和银行为主，形成较高的确定性资产组合。</w:t>
      </w:r>
    </w:p>
    <w:p>
      <w:r>
        <w:rPr>
          <w:rFonts w:ascii="等线(中文正文)" w:hAnsi="等线(中文正文)" w:cs="等线(中文正文)" w:eastAsia="等线(中文正文)"/>
          <w:b w:val="false"/>
          <w:i w:val="false"/>
          <w:sz w:val="20"/>
        </w:rPr>
        <w:t/>
      </w:r>
    </w:p>
    <w:p>
      <w:pPr>
        <w:pStyle w:val="ab"/>
      </w:pPr>
      <w:r>
        <w:t>太保保险在权益投资方面的策略有何不同之处？</w:t>
      </w:r>
    </w:p>
    <w:p>
      <w:r>
        <w:rPr>
          <w:rFonts w:ascii="等线(中文正文)" w:hAnsi="等线(中文正文)" w:cs="等线(中文正文)" w:eastAsia="等线(中文正文)"/>
          <w:b w:val="false"/>
          <w:i w:val="false"/>
          <w:sz w:val="20"/>
        </w:rPr>
        <w:t>发言人1：太保保险的权益占比不如平安高，约为19%以下，但其特点在于偏好投资现金流较好的公用事业和基础设施类资产，这些资产能提供稳定的现金流，并且受宏观经济波动影响相对较小。因此，在经济下行担忧时，这类资产能起到较好的避震作用。</w:t>
      </w:r>
    </w:p>
    <w:p>
      <w:r>
        <w:rPr>
          <w:rFonts w:ascii="等线(中文正文)" w:hAnsi="等线(中文正文)" w:cs="等线(中文正文)" w:eastAsia="等线(中文正文)"/>
          <w:b w:val="false"/>
          <w:i w:val="false"/>
          <w:sz w:val="20"/>
        </w:rPr>
        <w:t/>
      </w:r>
    </w:p>
    <w:p>
      <w:pPr>
        <w:pStyle w:val="ab"/>
      </w:pPr>
      <w:r>
        <w:t>人保保险的投资结构有何独特之处？</w:t>
      </w:r>
    </w:p>
    <w:p>
      <w:r>
        <w:rPr>
          <w:rFonts w:ascii="等线(中文正文)" w:hAnsi="等线(中文正文)" w:cs="等线(中文正文)" w:eastAsia="等线(中文正文)"/>
          <w:b w:val="false"/>
          <w:i w:val="false"/>
          <w:sz w:val="20"/>
        </w:rPr>
        <w:t>发言人1：人保保险的投资结构呈现出高度哑铃型特征，这主要源于其负债端的优势。由于财险业务提供了较低成本的资金来源（约-5%的收益率），使得人保能够在资产端进行长期规划，一头连接大型优质银行如兴业银行和华夏银行，另一头则投资于成长性优质的股权，从而实现了较低波动水平下的稳健投资。</w:t>
      </w:r>
    </w:p>
    <w:p>
      <w:r>
        <w:rPr>
          <w:rFonts w:ascii="等线(中文正文)" w:hAnsi="等线(中文正文)" w:cs="等线(中文正文)" w:eastAsia="等线(中文正文)"/>
          <w:b w:val="false"/>
          <w:i w:val="false"/>
          <w:sz w:val="20"/>
        </w:rPr>
        <w:t/>
      </w:r>
    </w:p>
    <w:p>
      <w:pPr>
        <w:pStyle w:val="ab"/>
      </w:pPr>
      <w:r>
        <w:t>泰康保险和华泰保险在投资策略上的差异是什么？</w:t>
      </w:r>
    </w:p>
    <w:p>
      <w:r>
        <w:rPr>
          <w:rFonts w:ascii="等线(中文正文)" w:hAnsi="等线(中文正文)" w:cs="等线(中文正文)" w:eastAsia="等线(中文正文)"/>
          <w:b w:val="false"/>
          <w:i w:val="false"/>
          <w:sz w:val="20"/>
        </w:rPr>
        <w:t>发言人1：泰康保险在投资时强调与公募基金PK，并通过幸福有学等产品锁定中长期负债，匹配成长性资产，获取高收益的同时锁定长久期负债，客户群体偏向中高净值。而华泰保险则依靠齐全的牌照和管理第三方资金的能力，尤其是社保、年金等业务，通过积极配置成长赛道，在获取收益的同时赚取管理费。</w:t>
      </w:r>
    </w:p>
    <w:p>
      <w:r>
        <w:rPr>
          <w:rFonts w:ascii="等线(中文正文)" w:hAnsi="等线(中文正文)" w:cs="等线(中文正文)" w:eastAsia="等线(中文正文)"/>
          <w:b w:val="false"/>
          <w:i w:val="false"/>
          <w:sz w:val="20"/>
        </w:rPr>
        <w:t/>
      </w:r>
    </w:p>
    <w:p>
      <w:pPr>
        <w:pStyle w:val="ab"/>
      </w:pPr>
      <w:r>
        <w:t>从长期投资收益角度看，哪家保险公司表现最好？</w:t>
      </w:r>
    </w:p>
    <w:p>
      <w:r>
        <w:rPr>
          <w:rFonts w:ascii="等线(中文正文)" w:hAnsi="等线(中文正文)" w:cs="等线(中文正文)" w:eastAsia="等线(中文正文)"/>
          <w:b w:val="false"/>
          <w:i w:val="false"/>
          <w:sz w:val="20"/>
        </w:rPr>
        <w:t>发言人1：太保保险在长期投资收益方面表现突出，其投资理念是依靠复利效应，坚持价值投资原则，有效控制了系统性风险，从而实现了稳定的估值和综合投资收益率在5-7%之间。</w:t>
      </w:r>
    </w:p>
    <w:p>
      <w:r>
        <w:rPr>
          <w:rFonts w:ascii="等线(中文正文)" w:hAnsi="等线(中文正文)" w:cs="等线(中文正文)" w:eastAsia="等线(中文正文)"/>
          <w:b w:val="false"/>
          <w:i w:val="false"/>
          <w:sz w:val="20"/>
        </w:rPr>
        <w:t/>
      </w:r>
    </w:p>
    <w:p>
      <w:pPr>
        <w:pStyle w:val="ab"/>
      </w:pPr>
      <w:r>
        <w:t>在当前环境下，保险公司应该如何配置资产以锁定相对确定性的收益，并保持资产和负债的匹配性？</w:t>
      </w:r>
    </w:p>
    <w:p>
      <w:r>
        <w:rPr>
          <w:rFonts w:ascii="等线(中文正文)" w:hAnsi="等线(中文正文)" w:cs="等线(中文正文)" w:eastAsia="等线(中文正文)"/>
          <w:b w:val="false"/>
          <w:i w:val="false"/>
          <w:sz w:val="20"/>
        </w:rPr>
        <w:t>发言人1：保险公司应首先锁定高分红资产和红利资产，增加配置比例以稳定定投收益率，并确保镜头收益率高于边际保证成本。其次，逐步兑现高成长、浮盈较大的资产，实现落袋为安。通过这样的策略，保险公司在资产和负债匹配角度上可以达到较为理想的状态。</w:t>
      </w:r>
    </w:p>
    <w:p>
      <w:r>
        <w:rPr>
          <w:rFonts w:ascii="等线(中文正文)" w:hAnsi="等线(中文正文)" w:cs="等线(中文正文)" w:eastAsia="等线(中文正文)"/>
          <w:b w:val="false"/>
          <w:i w:val="false"/>
          <w:sz w:val="20"/>
        </w:rPr>
        <w:t/>
      </w:r>
    </w:p>
    <w:p>
      <w:pPr>
        <w:pStyle w:val="ab"/>
      </w:pPr>
      <w:r>
        <w:t>从二季度开始，保险公司有哪些具体的资产配置调整措施？</w:t>
      </w:r>
    </w:p>
    <w:p>
      <w:r>
        <w:rPr>
          <w:rFonts w:ascii="等线(中文正文)" w:hAnsi="等线(中文正文)" w:cs="等线(中文正文)" w:eastAsia="等线(中文正文)"/>
          <w:b w:val="false"/>
          <w:i w:val="false"/>
          <w:sz w:val="20"/>
        </w:rPr>
        <w:t>发言人1：保险公司正在进行结构性调整，逢高减一部分高增长资产并加一部分高分红资产，从而有效稳定甚至提高净投资收益率，并及时兑现浮盈，以满足未来中长期资产负债匹配的要求。</w:t>
      </w:r>
    </w:p>
    <w:p>
      <w:r>
        <w:rPr>
          <w:rFonts w:ascii="等线(中文正文)" w:hAnsi="等线(中文正文)" w:cs="等线(中文正文)" w:eastAsia="等线(中文正文)"/>
          <w:b w:val="false"/>
          <w:i w:val="false"/>
          <w:sz w:val="20"/>
        </w:rPr>
        <w:t/>
      </w:r>
    </w:p>
    <w:p>
      <w:pPr>
        <w:pStyle w:val="ab"/>
      </w:pPr>
      <w:r>
        <w:t>结合日本经验，在利率中枢下行过程中，保险公司的债券投资策略如何变化？</w:t>
      </w:r>
    </w:p>
    <w:p>
      <w:r>
        <w:rPr>
          <w:rFonts w:ascii="等线(中文正文)" w:hAnsi="等线(中文正文)" w:cs="等线(中文正文)" w:eastAsia="等线(中文正文)"/>
          <w:b w:val="false"/>
          <w:i w:val="false"/>
          <w:sz w:val="20"/>
        </w:rPr>
        <w:t>发言人1：在日本经验中，保险公司在利率单方面下行阶段倾向于做债基投资。而在利率中枢长期下行阶段，债券的交易价值大于配置价值，因此许多保险公司可能会选择将已浮盈较多的长期国债卖出，转而购买如三年期利率债、部分二永资产以及20年以上的地方债等具有较高交易价值的债券品种。</w:t>
      </w:r>
    </w:p>
    <w:p>
      <w:r>
        <w:rPr>
          <w:rFonts w:ascii="等线(中文正文)" w:hAnsi="等线(中文正文)" w:cs="等线(中文正文)" w:eastAsia="等线(中文正文)"/>
          <w:b w:val="false"/>
          <w:i w:val="false"/>
          <w:sz w:val="20"/>
        </w:rPr>
        <w:t/>
      </w:r>
    </w:p>
    <w:p>
      <w:pPr>
        <w:pStyle w:val="ab"/>
      </w:pPr>
      <w:r>
        <w:t>如何提高或稳定保险公司的净投资收益率？</w:t>
      </w:r>
    </w:p>
    <w:p>
      <w:r>
        <w:rPr>
          <w:rFonts w:ascii="等线(中文正文)" w:hAnsi="等线(中文正文)" w:cs="等线(中文正文)" w:eastAsia="等线(中文正文)"/>
          <w:b w:val="false"/>
          <w:i w:val="false"/>
          <w:sz w:val="20"/>
        </w:rPr>
        <w:t>发言人1：核心在于加大高分红资产（如红利股）的配置，同时考虑将一些高夏普值的类权益资产放入OCI账户。预计未来红利资产配置结构将从当前的35%提升至45%至50%。</w:t>
      </w:r>
    </w:p>
    <w:p>
      <w:r>
        <w:rPr>
          <w:rFonts w:ascii="等线(中文正文)" w:hAnsi="等线(中文正文)" w:cs="等线(中文正文)" w:eastAsia="等线(中文正文)"/>
          <w:b w:val="false"/>
          <w:i w:val="false"/>
          <w:sz w:val="20"/>
        </w:rPr>
        <w:t/>
      </w:r>
    </w:p>
    <w:p>
      <w:pPr>
        <w:pStyle w:val="ab"/>
      </w:pPr>
      <w:r>
        <w:t>在红利资产的选择上，A股红利和港股红利有何优劣势？</w:t>
      </w:r>
    </w:p>
    <w:p>
      <w:r>
        <w:rPr>
          <w:rFonts w:ascii="等线(中文正文)" w:hAnsi="等线(中文正文)" w:cs="等线(中文正文)" w:eastAsia="等线(中文正文)"/>
          <w:b w:val="false"/>
          <w:i w:val="false"/>
          <w:sz w:val="20"/>
        </w:rPr>
        <w:t>发言人1：A股红利的夏普值更高，而港股红利尽管股息率较高，但估值调整压力大且存在汇率风险。因此，判断未来底仓仍以中证红利资产为主，同时关注超额收益资产如科技股中的成长股机会，尤其是AI产业链相关资产。</w:t>
      </w:r>
    </w:p>
    <w:p>
      <w:r>
        <w:rPr>
          <w:rFonts w:ascii="等线(中文正文)" w:hAnsi="等线(中文正文)" w:cs="等线(中文正文)" w:eastAsia="等线(中文正文)"/>
          <w:b w:val="false"/>
          <w:i w:val="false"/>
          <w:sz w:val="20"/>
        </w:rPr>
        <w:t/>
      </w:r>
    </w:p>
    <w:p>
      <w:pPr>
        <w:pStyle w:val="ab"/>
      </w:pPr>
      <w:r>
        <w:t>对于当前市场上的科技股投资情况，保险公司的看法如何？</w:t>
      </w:r>
    </w:p>
    <w:p>
      <w:r>
        <w:rPr>
          <w:rFonts w:ascii="等线(中文正文)" w:hAnsi="等线(中文正文)" w:cs="等线(中文正文)" w:eastAsia="等线(中文正文)"/>
          <w:b w:val="false"/>
          <w:i w:val="false"/>
          <w:sz w:val="20"/>
        </w:rPr>
        <w:t>发言人1：保险公司从去年三季度开始加大了科技股投资，特别是在AI产业链光模块等资产上持续提升配置比例。然而，进入8月份，由于七月份的调整，赛道变得较为拥挤，类似历史上新能源、白酒、医药抱团的情况，目前抱团占比更强，但快速瓦解可能需要两个季度左右，持续瓦解则可能需要1到2年的消化期。</w:t>
      </w:r>
    </w:p>
    <w:p>
      <w:r>
        <w:rPr>
          <w:rFonts w:ascii="等线(中文正文)" w:hAnsi="等线(中文正文)" w:cs="等线(中文正文)" w:eastAsia="等线(中文正文)"/>
          <w:b w:val="false"/>
          <w:i w:val="false"/>
          <w:sz w:val="20"/>
        </w:rPr>
        <w:t/>
      </w:r>
    </w:p>
    <w:p>
      <w:pPr>
        <w:pStyle w:val="ab"/>
      </w:pPr>
      <w:r>
        <w:t>险资出海投资是否存在一些具体的策略或限制？</w:t>
      </w:r>
    </w:p>
    <w:p>
      <w:r>
        <w:rPr>
          <w:rFonts w:ascii="等线(中文正文)" w:hAnsi="等线(中文正文)" w:cs="等线(中文正文)" w:eastAsia="等线(中文正文)"/>
          <w:b w:val="false"/>
          <w:i w:val="false"/>
          <w:sz w:val="20"/>
        </w:rPr>
        <w:t>发言人1：险资出海投资时，大规模出海存在一定难度，多数保险公司选择以港股通的形式参与海外投资。然而，可以通过间接购买黄金来对冲全球通胀，因为国内保险公司的投资额度已有所放宽，并预计未来还会进一步扩大。不过，对于像微盘股这样的资产类别，由于其规模较小且不适合大规模投资，所以并不适合保险资金投资。</w:t>
      </w:r>
    </w:p>
    <w:p>
      <w:r>
        <w:rPr>
          <w:rFonts w:ascii="等线(中文正文)" w:hAnsi="等线(中文正文)" w:cs="等线(中文正文)" w:eastAsia="等线(中文正文)"/>
          <w:b w:val="false"/>
          <w:i w:val="false"/>
          <w:sz w:val="20"/>
        </w:rPr>
        <w:t/>
      </w:r>
    </w:p>
    <w:p>
      <w:pPr>
        <w:pStyle w:val="ab"/>
      </w:pPr>
      <w:r>
        <w:t>在投资配置方面，保险行业下一步有哪些主要方向？</w:t>
      </w:r>
    </w:p>
    <w:p>
      <w:r>
        <w:rPr>
          <w:rFonts w:ascii="等线(中文正文)" w:hAnsi="等线(中文正文)" w:cs="等线(中文正文)" w:eastAsia="等线(中文正文)"/>
          <w:b w:val="false"/>
          <w:i w:val="false"/>
          <w:sz w:val="20"/>
        </w:rPr>
        <w:t>发言人1：下一步，保险行业在投资配置上应加大红利类资产的配置，并适当探索smart贝塔策略以增强组合的分散性。同时，需要挖掘细分因子方向，形成哑铃型资产结构，一头是中证红利等低风险资产，另一头是价值型和合理价格成长因子等中高风险资产。此外，还应关注内需、医药健康等成长性机会，并在海外投资方面进行择时和增厚操作。</w:t>
      </w:r>
    </w:p>
    <w:p>
      <w:r>
        <w:rPr>
          <w:rFonts w:ascii="等线(中文正文)" w:hAnsi="等线(中文正文)" w:cs="等线(中文正文)" w:eastAsia="等线(中文正文)"/>
          <w:b w:val="false"/>
          <w:i w:val="false"/>
          <w:sz w:val="20"/>
        </w:rPr>
        <w:t/>
      </w:r>
    </w:p>
    <w:p>
      <w:pPr>
        <w:pStyle w:val="ab"/>
      </w:pPr>
      <w:r>
        <w:t>权益资产在保险投资中的角色及其面临的挑战是什么？</w:t>
      </w:r>
    </w:p>
    <w:p>
      <w:r>
        <w:rPr>
          <w:rFonts w:ascii="等线(中文正文)" w:hAnsi="等线(中文正文)" w:cs="等线(中文正文)" w:eastAsia="等线(中文正文)"/>
          <w:b w:val="false"/>
          <w:i w:val="false"/>
          <w:sz w:val="20"/>
        </w:rPr>
        <w:t>发言人1：在当前环境下，权益资产有望从原来的锦上添花转变为决定市场胜负的关键因素，尤其是在负债端成本下降的情况下，资本市场提供了更多机会。但挑战在于高票息资产不足，保险公司在存款和非标资产减少的情况下需要构建类似高股息的资产组合。</w:t>
      </w:r>
    </w:p>
    <w:p>
      <w:r>
        <w:rPr>
          <w:rFonts w:ascii="等线(中文正文)" w:hAnsi="等线(中文正文)" w:cs="等线(中文正文)" w:eastAsia="等线(中文正文)"/>
          <w:b w:val="false"/>
          <w:i w:val="false"/>
          <w:sz w:val="20"/>
        </w:rPr>
        <w:t/>
      </w:r>
    </w:p>
    <w:p>
      <w:pPr>
        <w:pStyle w:val="ab"/>
      </w:pPr>
      <w:r>
        <w:t>海外经验对于指导国内保险投资有何启示？</w:t>
      </w:r>
    </w:p>
    <w:p>
      <w:r>
        <w:rPr>
          <w:rFonts w:ascii="等线(中文正文)" w:hAnsi="等线(中文正文)" w:cs="等线(中文正文)" w:eastAsia="等线(中文正文)"/>
          <w:b w:val="false"/>
          <w:i w:val="false"/>
          <w:sz w:val="20"/>
        </w:rPr>
        <w:t>发言人1：海外经验表明，权益和另类资产是核心增量配置方向。日本和美国保险公司在资产配置上的侧重点不同，美国以储蓄型和理财型产品为主，而日本则以护理型和监护型产品为主。在国内，重点分析了五类注重分红和长期股权投资的保险公司，强调根据负债结构和股东结构来优化资产配置。</w:t>
      </w:r>
    </w:p>
    <w:p>
      <w:r>
        <w:rPr>
          <w:rFonts w:ascii="等线(中文正文)" w:hAnsi="等线(中文正文)" w:cs="等线(中文正文)" w:eastAsia="等线(中文正文)"/>
          <w:b w:val="false"/>
          <w:i w:val="false"/>
          <w:sz w:val="20"/>
        </w:rPr>
        <w:t/>
      </w:r>
    </w:p>
    <w:p>
      <w:pPr>
        <w:pStyle w:val="ab"/>
      </w:pPr>
      <w:r>
        <w:t>对于下半年保险机构的投资策略有何建议？</w:t>
      </w:r>
    </w:p>
    <w:p>
      <w:r>
        <w:rPr>
          <w:rFonts w:ascii="等线(中文正文)" w:hAnsi="等线(中文正文)" w:cs="等线(中文正文)" w:eastAsia="等线(中文正文)"/>
          <w:b w:val="false"/>
          <w:i w:val="false"/>
          <w:sz w:val="20"/>
        </w:rPr>
        <w:t>发言人1：下半年核心是构建哑铃型资产结构，即加强红利资产配置（目前行业占比不高）和成长性资产构建。在成长性资产构建中，应避免微盘股等容量有限的投资方向，而是在国内寻找spanned beta赛道及偏成长性的新行业主线，例如关注内需、医药健康等领域的发展机会。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2026-08-16T14:44:23Z</dcterms:created>
  <dc:creator>Apache POI</dc:creator>
</cp:coreProperties>
</file>