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PartName="/docProps/custom.xml" ContentType="application/vnd.openxmlformats-officedocument.custom-propertie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app.xml" Type="http://schemas.openxmlformats.org/officeDocument/2006/relationships/extended-properties"/><Relationship Id="rId3" Target="docProps/core.xml" Type="http://schemas.openxmlformats.org/package/2006/relationships/metadata/core-properties"/><Relationship Id="rId4" Type="http://schemas.openxmlformats.org/officeDocument/2006/relationships/custom-properties" Target="docProps/custom.xml"/></Relationships>
</file>

<file path=word/document.xml><?xml version="1.0" encoding="utf-8"?>
<w:document xmlns:w="http://schemas.openxmlformats.org/wordprocessingml/2006/main">
  <w:body>
    <w:p>
      <w:pPr>
        <w:pStyle w:val="ac"/>
      </w:pPr>
      <w:r>
        <w:t>方正证券 方正大制造周周谈 260816_原文</w:t>
      </w:r>
    </w:p>
    <w:p>
      <w:pPr>
        <w:jc w:val="center"/>
      </w:pPr>
      <w:r>
        <w:rPr>
          <w:rFonts w:ascii="等线(中文正文)" w:hAnsi="等线(中文正文)" w:cs="等线(中文正文)" w:eastAsia="等线(中文正文)"/>
          <w:b w:val="false"/>
          <w:i w:val="false"/>
          <w:sz w:val="20"/>
        </w:rPr>
        <w:t>2026年08月16日 22:39</w:t>
      </w:r>
    </w:p>
    <w:p>
      <w:r>
        <w:rPr>
          <w:rFonts w:ascii="等线(中文正文)" w:hAnsi="等线(中文正文)" w:cs="等线(中文正文)" w:eastAsia="等线(中文正文)"/>
          <w:b w:val="false"/>
          <w:i w:val="false"/>
          <w:sz w:val="20"/>
        </w:rPr>
        <w:t>发言人1   00:00</w:t>
      </w:r>
    </w:p>
    <w:p>
      <w:r>
        <w:rPr>
          <w:rFonts w:ascii="等线(中文正文)" w:hAnsi="等线(中文正文)" w:cs="等线(中文正文)" w:eastAsia="等线(中文正文)"/>
          <w:b w:val="false"/>
          <w:i w:val="false"/>
          <w:sz w:val="20"/>
        </w:rPr>
        <w:t>目前所有参会者均处于静音状态，下面开始播报声明，本次会议是面向方正证券的专业投资机构客户或受邀客户、第三方专家发言内容仅代表其个人观点，所有信息或观点不构成投资建议。根据监管规定，会议不得交流敏感、内幕信息。未经方正证券事先书面许可，任何机构或个人严禁录音、制作纪要、转发、转载、传播、复制、编辑、修改等。涉嫌违反上述情形的，我们将保留一切法律权利。感谢您的理解和支持，谢谢。</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00:35</w:t>
      </w:r>
    </w:p>
    <w:p>
      <w:r>
        <w:rPr>
          <w:rFonts w:ascii="等线(中文正文)" w:hAnsi="等线(中文正文)" w:cs="等线(中文正文)" w:eastAsia="等线(中文正文)"/>
          <w:b w:val="false"/>
          <w:i w:val="false"/>
          <w:sz w:val="20"/>
        </w:rPr>
        <w:t>各位投资者朋友，大家下午好，我是方正电信的郭彦辰。今天周周谈，我们将针对我们目前主要推荐的一些环节，进行一个我们说再再深入的这样的一个探讨一下。首先就是我们目前最推荐的这个电力设备的环节。总结来看，从下半年来讲，我们电力设备最这一块肯定从成长的角度最看好的。毫无疑问，就是海外的这样的一个AIDC相关，以及国内的这样的一个我们说算力协同和算力租赁这样的一个环节。</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01:15</w:t>
      </w:r>
    </w:p>
    <w:p>
      <w:r>
        <w:rPr>
          <w:rFonts w:ascii="等线(中文正文)" w:hAnsi="等线(中文正文)" w:cs="等线(中文正文)" w:eastAsia="等线(中文正文)"/>
          <w:b w:val="false"/>
          <w:i w:val="false"/>
          <w:sz w:val="20"/>
        </w:rPr>
        <w:t>首先先说海外，从海外的角度来讲，目前由于此前AI的预期是比较紊乱了，但目前调整充分的情况下，再结合八月份的这个ruby持续的在取得进展，我们非常看好的就是AI大周期趋势下的这个比如说像变压器、电源液冷SST这样的一些环节。所以说这样一些环节我们建议持续的去关注。比如说像电源环节的中恒迈靡资源，夜冷环节的森林金付，包括SSD环节的，比如说像新风光、西电四方、金泉华等等的这样一些标的，这是第一第二，就从国内来看，目前今年的国内的基建的一个重点边际变化，毫无疑问是在于边缘算力算力协同和蒜电网的算力网的搭建。所以，在这样的一个情况下，算电协同和算力租赁这样的一些环节，他一定是国内来讲，我们说基建环节增厚最多的这样的一些环节。所以一些标的，比如说像这个双面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02:34</w:t>
      </w:r>
    </w:p>
    <w:p>
      <w:r>
        <w:rPr>
          <w:rFonts w:ascii="等线(中文正文)" w:hAnsi="等线(中文正文)" w:cs="等线(中文正文)" w:eastAsia="等线(中文正文)"/>
          <w:b w:val="false"/>
          <w:i w:val="false"/>
          <w:sz w:val="20"/>
        </w:rPr>
        <w:t>请关注公众号思维纪要社，更多纪要请加V西安20210130桶里面的像新新能科、金科科技、深浩科技，以及像算力租赁里面的像泓景中威盛世科盛盛世科技等等这样一些标的我们也是建议持续的去做一些关注，这是我们最推荐的板块。往下来看，包括像锂电与储能这个环节。目前来讲，它本质上我们觉得是景气度投资。所以在这样的一个情况下，核心就是取决于目前的一个位置。经过充分调整之后，其实目前锂电的龙头以及目前储能的龙头都在一个比较合适的一个位置。特别是像互储环节，我们觉得是比较超跌的。相关的一些个股诸如像是顾德威，像德业等等，是值得去关注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03:31</w:t>
      </w:r>
    </w:p>
    <w:p>
      <w:r>
        <w:rPr>
          <w:rFonts w:ascii="等线(中文正文)" w:hAnsi="等线(中文正文)" w:cs="等线(中文正文)" w:eastAsia="等线(中文正文)"/>
          <w:b w:val="false"/>
          <w:i w:val="false"/>
          <w:sz w:val="20"/>
        </w:rPr>
        <w:t>光伏环节实际上我们觉得重点目前还是在这个上游的多晶硅，经历了这个反内卷，以及我们说目前的一个价格法的一个限制，我们觉得多晶硅的整体的一个价格，未来将稳在4万以上。所以我们觉得多晶硅的4万块钱的这个价格，它是一个关键的一个节点。机器人方面，我们就建议关注目前核心的零部件。特别是主机厂去聚焦海外特斯拉的这个产品的发布，以及语速的上市带来的向上的这样的一个趋势动能，这个是关于目前这个电信板块的一些环节的我们的一些推荐的一些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04:20</w:t>
      </w:r>
    </w:p>
    <w:p>
      <w:r>
        <w:rPr>
          <w:rFonts w:ascii="等线(中文正文)" w:hAnsi="等线(中文正文)" w:cs="等线(中文正文)" w:eastAsia="等线(中文正文)"/>
          <w:b w:val="false"/>
          <w:i w:val="false"/>
          <w:sz w:val="20"/>
        </w:rPr>
        <w:t>以上各位投资者下午好，我是方正汽车分析师。下面我来汇报一下本周汽车板块的市场表现、产业大势以及后续行情的判断。从整个市场来看的话，本周汽车板块下跌0.33%，跑赢沪深300 0.28个百分点。汽车机器人指数下跌0.23%，市场风险偏好没有明显的下降，资金仍在高景气度方向之间轮动。从整个汽车内部的分化来看的话，分化表现比较明显。汽车零部件上涨0.85%，是唯一个取得正收益的细分板块。汽车服务下跌1.42%，乘用车下跌2.15%，商用载货车下跌2.27%，商用载客车下跌7.58%。</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05:15</w:t>
      </w:r>
    </w:p>
    <w:p>
      <w:r>
        <w:rPr>
          <w:rFonts w:ascii="等线(中文正文)" w:hAnsi="等线(中文正文)" w:cs="等线(中文正文)" w:eastAsia="等线(中文正文)"/>
          <w:b w:val="false"/>
          <w:i w:val="false"/>
          <w:sz w:val="20"/>
        </w:rPr>
        <w:t>从整个本周产业的一个情况来看的话，本周中汽协公布了七月的汽车数据，呈现非常鲜明的内需弱出口强的一个状态。七月汽车产销分别为257.3万辆和258.4万辆，同比分别下降0.7%和0.3%。新能源汽车销量为156.1万辆，同比增长23.7%，主要是受益于出口。七月的汽车出口达到104.3万辆，同比增长81.3%。其中新能源汽车出口55.3万辆，同比增长1.5倍。从整个数据来看，整车板块短期仍处于一个压制状态，重点关注比亚迪、吉利等车企，以及拥有全球客户和海外产能的零部件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06:08</w:t>
      </w:r>
    </w:p>
    <w:p>
      <w:r>
        <w:rPr>
          <w:rFonts w:ascii="等线(中文正文)" w:hAnsi="等线(中文正文)" w:cs="等线(中文正文)" w:eastAsia="等线(中文正文)"/>
          <w:b w:val="false"/>
          <w:i w:val="false"/>
          <w:sz w:val="20"/>
        </w:rPr>
        <w:t>第二个是语速科技，本周启动了科创板的申购。语速的上市意义不仅仅是多了一家机器人本体上市公司，更是给整个机器人产业链提供一个新的估值坐标。未来一周的话重点关注三件事。第一个是八月19号到23号，世界机器人大会。本届大会有三百多家企业，超过2000件展品和150余款新品。其中8月20号是专门设置的采购日，第二个是21号到30号的成都车展。本届车展有近120个品牌，约1600辆展车将集中亮相。成都车展的话不仅仅是新车的一个催化，更是验证金九银十订单橙色的第一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07:02</w:t>
      </w:r>
    </w:p>
    <w:p>
      <w:r>
        <w:rPr>
          <w:rFonts w:ascii="等线(中文正文)" w:hAnsi="等线(中文正文)" w:cs="等线(中文正文)" w:eastAsia="等线(中文正文)"/>
          <w:b w:val="false"/>
          <w:i w:val="false"/>
          <w:sz w:val="20"/>
        </w:rPr>
        <w:t>第三个是22号到26号的世界人性机器人运动会。活动本身主要我还是偏向于展示，但是能够集中检验机器人的稳定性、速度、灵巧操作和连续工作的一个能力。如果本届大会能够看到明显的长颈鹿地区大脑的提升，计算板块有望从主题投资转向产业投资。最后说一下行情判断，汽车板块短期仍是结构性机会，而不易压住整个整车板块的全面反转。</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07:39</w:t>
      </w:r>
    </w:p>
    <w:p>
      <w:r>
        <w:rPr>
          <w:rFonts w:ascii="等线(中文正文)" w:hAnsi="等线(中文正文)" w:cs="等线(中文正文)" w:eastAsia="等线(中文正文)"/>
          <w:b w:val="false"/>
          <w:i w:val="false"/>
          <w:sz w:val="20"/>
        </w:rPr>
        <w:t>国内需求尚未出现明显的拐点，成都车展订单将是关键的验证。相对看好三类方向。第一类是出口持续超预期的自主车企，如比亚迪、吉利等等，以及在细分市场比如江淮在高端MPV的一个市场突破口。第二个是全球化的零部件的龙头，以及同能够同时进入汽车和机器人供应链的公司。然后对于整个机器人板块来看的话，目前也处于一个重要的催化窗口。世界机器人大会和语速上市可能持续提升整个计算的关注度。特斯拉机器人也在从周产200套向九月周产1000套做一个扩展，并且整个产能也在持续的爬升，相关的产线也在持续的建设中。真正能够走出持续性行情的人是主业有比较明确的支撑，以及获得比较明确的定点，能够扩展在减速器4杠电机等核心环节形成收入的公司。</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08:50</w:t>
      </w:r>
    </w:p>
    <w:p>
      <w:r>
        <w:rPr>
          <w:rFonts w:ascii="等线(中文正文)" w:hAnsi="等线(中文正文)" w:cs="等线(中文正文)" w:eastAsia="等线(中文正文)"/>
          <w:b w:val="false"/>
          <w:i w:val="false"/>
          <w:sz w:val="20"/>
        </w:rPr>
        <w:t>以上是我的汇报，谢谢各位投资者。大家下午好，我是机械组首席分析师赵路。接下来我来更新一下机械板块本周的观点。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09:02</w:t>
      </w:r>
    </w:p>
    <w:p>
      <w:r>
        <w:rPr>
          <w:rFonts w:ascii="等线(中文正文)" w:hAnsi="等线(中文正文)" w:cs="等线(中文正文)" w:eastAsia="等线(中文正文)"/>
          <w:b w:val="false"/>
          <w:i w:val="false"/>
          <w:sz w:val="20"/>
        </w:rPr>
        <w:t>首先我们认为可以重点关注的几个方向，主要还是围绕设备端，主要还是围绕光模块设备、PCB设备以及半导体设备。这三个方向是属于景气度比较高的那其次的话，像这个光模块液冷以及下游订单比较好的一些机床企业，我们认为也是可以重点关注的那首先看光模块设备，这个其实我们之前也多次强调过。它的逻辑就是，无论是国内的龙头企业在海外扩产，还是海外企业的扩产，在海外的扩产都是需要上自动化的设备的。因为之前大部分光模块还是以人工为主，但海外考虑到人工制作的效率、稳定性和经济性各个方面的问题，肯定是要大量上设备的那像上周的话，coherent和罗曼他们也陆续的发布相关的业绩的同比都是同比环比都是高增的。而且大家可以看到，其实就是NPO和CPU的这个新架构的需求确实是有在明显的加速的。NPU作为CPU的一个中间步骤中，目前也是受到了绝大部分客户的一个评估，所以这个也是一个纯增量的机会。那它的相应的组装也是需要上这个自动化设备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10:26</w:t>
      </w:r>
    </w:p>
    <w:p>
      <w:r>
        <w:rPr>
          <w:rFonts w:ascii="等线(中文正文)" w:hAnsi="等线(中文正文)" w:cs="等线(中文正文)" w:eastAsia="等线(中文正文)"/>
          <w:b w:val="false"/>
          <w:i w:val="false"/>
          <w:sz w:val="20"/>
        </w:rPr>
        <w:t>所以重点就是可以关注光怪设备里面的几家龙头企业和对海外敞口比较大的公司，那就包括像罗伯特科，像科瑞技术、博众精工电信，还有像立方凯格经济等等。另外就是像PCB和半导体设备这块。首先说PCB，就是我们说这个AIPCB这块，其实像过去的几周，大摩和高盛都有发布过。就是对于全球走AIPCB的一个市场规模的预计，目前大我的预测是在26年，全球的市场规模在178亿美金，然后27年到40070亿。那么高盛的预测其实也差不多，大概就是今年27年大概的今年今年大概到178，明年是到375，然后28年贷到840亿。对，基本上就是27年。27年相比26年是会维持一个几倍的一个增速。去年的市场规模大概在大几十亿美金，今年大概到了130到170这样一个水平，其实就是维持了个两三倍的一个增速。到27年预计还是会维持一个两三倍的增速，到28年的话会是一个翻倍增速。所以我们可以看到，其实在未来的2到3年里面，PCB的就是AIPCB这块的市场规模的话，会维持一个几倍的一个增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11:59</w:t>
      </w:r>
    </w:p>
    <w:p>
      <w:r>
        <w:rPr>
          <w:rFonts w:ascii="等线(中文正文)" w:hAnsi="等线(中文正文)" w:cs="等线(中文正文)" w:eastAsia="等线(中文正文)"/>
          <w:b w:val="false"/>
          <w:i w:val="false"/>
          <w:sz w:val="20"/>
        </w:rPr>
        <w:t>然后。这个其实是对于设备会是一个很大的拉动，因为设备一般是需要提前去订购的。因为现在像很多高端的高阶的HHDI机箱，这个m sap这种高端的工艺产能的话，一般也扩产周期也需要1年到1年半的时间。有而且像越是高端的产能，它的设备就会向头部的设备厂商去集中。因为一个是相应的精度稳定性的问题，然后另外也是考验相应的产能。所以我们认为像这个大足、新奇、中威，以及像这个三维金科，以及高端智能这些头部的PCB设备厂商是可以持续的重点关注的那还有就是像说蒂尔英诺和德龙激光这些其实在搏击版这些新技术上有一席之地的公司，也是可以持续的去关注和各个产业之间最后一个技术的进展。</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13:04</w:t>
      </w:r>
    </w:p>
    <w:p>
      <w:r>
        <w:rPr>
          <w:rFonts w:ascii="等线(中文正文)" w:hAnsi="等线(中文正文)" w:cs="等线(中文正文)" w:eastAsia="等线(中文正文)"/>
          <w:b w:val="false"/>
          <w:i w:val="false"/>
          <w:sz w:val="20"/>
        </w:rPr>
        <w:t>第三个就是半导体设备，其实在上周的时候，这个中心国际是发布了它的收入，收入利润整体上都是比较超预期的那我们认为其实它的这个经营端的改善，也会强化在本土的晶源端制造的以及像工艺迭代。另外的话像这个台积电也是一样的，在七月份的营收，利润整体上也是维持一个比较高的增速。还有就是像JSK海力士的，目前也是计划要重启在大连的nand的扩产，然后27年当地的产能可能会提升50%左右。我认为随着国内的厂商的扩产，以及像海外的厂商的扩产，国内的设备企业其实都是有一定的机会的。像北方华创、中微拓、金胜美、华海、维达、纳米、华丰、长川、精致、大海、金海通这个公司，我认为都可以重点关注在集中性敞口，存储端敞口比较高的微导纳米和金质达，我认为可以重点关注一下。</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14:18</w:t>
      </w:r>
    </w:p>
    <w:p>
      <w:r>
        <w:rPr>
          <w:rFonts w:ascii="等线(中文正文)" w:hAnsi="等线(中文正文)" w:cs="等线(中文正文)" w:eastAsia="等线(中文正文)"/>
          <w:b w:val="false"/>
          <w:i w:val="false"/>
          <w:sz w:val="20"/>
        </w:rPr>
        <w:t>除此之外的话，还有一个方向就是像这个光荣花叶老。像上周的时候，这个中心区矿也是发布了这个公告，大概就是持有中视科技的这个股份转让协议，这个公告正式发布出来。然后其实像光文化业也是一样的，就是随着1.6T800至1.6T的上量，尤其是在1.6T开始会开是批量的应用。像中石科技以及像移动电子电工科技这些光模块液冷这块已经有一定先发优势的布局的企业，是目前我觉得认为关注度比较高的，而且后面会会有这个量产的业绩的体现的，我们认为是可以重点关注。</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15:04</w:t>
      </w:r>
    </w:p>
    <w:p>
      <w:r>
        <w:rPr>
          <w:rFonts w:ascii="等线(中文正文)" w:hAnsi="等线(中文正文)" w:cs="等线(中文正文)" w:eastAsia="等线(中文正文)"/>
          <w:b w:val="false"/>
          <w:i w:val="false"/>
          <w:sz w:val="20"/>
        </w:rPr>
        <w:t>然后最后一个板块就是机床企业。机床企业其实我们像，八月份的金轨放了有为数控。那整体上来看，公司其实像纽威数控以及像海天精工这些基层龙头企业的话，他们其实在去年的四季度以及今年一季度陆续都迎来了业绩上的一个拐点，对他们业绩的好转是这个根本原因。在追踪到下游来看的话，其实也是有AI相关的电子方向的相关的一些需求来带动的，有的是加工的这个机柜，有的是像这个创世纪和乔峰智能，有一些是加工的像液冷相关的这个下游。对这些我们认为其实像机床设备企业，虽然它的下分布非常广泛的，整体上是反映一个宏观的经济和需求水平，但是就是经历了这个产业结构的变化。目前来看这些企业其实本质上也是由AI来带动的。还有就是像，目前日本的对于一些数控系统，一些高端机床数控系统的一些出口的一些管制措施的话，我们认为其实对于国产设备在厂商也是有一定利好的。像华中数控、科德这些做数控系统的，以及像五轴机床的这些稀缺的龙头企业的话，也是有一定的机会。</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16:25</w:t>
      </w:r>
    </w:p>
    <w:p>
      <w:r>
        <w:rPr>
          <w:rFonts w:ascii="等线(中文正文)" w:hAnsi="等线(中文正文)" w:cs="等线(中文正文)" w:eastAsia="等线(中文正文)"/>
          <w:b w:val="false"/>
          <w:i w:val="false"/>
          <w:sz w:val="20"/>
        </w:rPr>
        <w:t>以上的话就是机械板块的汇报，谢谢大家。各位投资者下午好，今天我来更新一下军工的各项方向的一些最新信息。首先咱们的商业航天方向，下周也就是下周三，也就七夕当天，早上租借三的二次的试飞，或者说二次的一级回收试验飞行的话，这个应该是在早上进行之前，由于某些原因，就是推了一点时间，我们期待这个火箭这次的2飞更加的成功。</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17:05</w:t>
      </w:r>
    </w:p>
    <w:p>
      <w:r>
        <w:rPr>
          <w:rFonts w:ascii="等线(中文正文)" w:hAnsi="等线(中文正文)" w:cs="等线(中文正文)" w:eastAsia="等线(中文正文)"/>
          <w:b w:val="false"/>
          <w:i w:val="false"/>
          <w:sz w:val="20"/>
        </w:rPr>
        <w:t>另外一点的话就是我想说一下国产大飞机方向的一些大的事件。比如说7月29号，咱们的C919高原型，也是首架机，也是在上海浦东机场完成了首飞，完成了所有的正式的试飞的科目。这个算是一个C919系列的一改型的试飞工作，正式开启了。然后8月12号，8月12号国航的这个C919的直飞北京到乌兰巴托的这个常态化的国际定期的航线，这个也是首次进行了正式的飞行，并且落地在了蒙古国的机场，进行过水门的仪式。这是咱们C919商业化以后，首条常态化的国际载客的定定期的航线。这个是也是由于中蒙两双边的世行互认进行运行的这么一个结果。那我相信未来更多国际航班将有咱们的这个C919的型号去执行。</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18:13</w:t>
      </w:r>
    </w:p>
    <w:p>
      <w:r>
        <w:rPr>
          <w:rFonts w:ascii="等线(中文正文)" w:hAnsi="等线(中文正文)" w:cs="等线(中文正文)" w:eastAsia="等线(中文正文)"/>
          <w:b w:val="false"/>
          <w:i w:val="false"/>
          <w:sz w:val="20"/>
        </w:rPr>
        <w:t>此外的话C909也就原来的这个ARG21的直线飞机，在七月中旬，在7月17号的时候上飞，就已经有与柬埔寨的国家航空签订了20架的C909采购的大单。这也是海外的国家级的这种大航司首次批量采购咱们的国产支线的飞机。这个的话预计接下来陆续会交付，然后929方向的这个，因为现在研发也是到了一个非常关键的时期在七月下旬也是在万宝楼的国际航展的时候，上飞也是携带了这个919909929的这全套的机型的模型进行了参展。同期的话也是官宣了，比如说香港民航处将深度去参与929试航的审计工作，这是这样。然后相关配套的这个长江两千发动机的话，也是在不断的进行各项试验，这是整体的结果。C觉就这个长江一千发动机，预计在今年也能看得到这个在咱们的919平台上的一个挂机。这个也是提示大家关注后续的一些进展。三季度可能会有些情况会出现。</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19:37</w:t>
      </w:r>
    </w:p>
    <w:p>
      <w:r>
        <w:rPr>
          <w:rFonts w:ascii="等线(中文正文)" w:hAnsi="等线(中文正文)" w:cs="等线(中文正文)" w:eastAsia="等线(中文正文)"/>
          <w:b w:val="false"/>
          <w:i w:val="false"/>
          <w:sz w:val="20"/>
        </w:rPr>
        <w:t>然后关于咱们军工行业十五规划相关的，其实在今年3月13号，其实已经在国家层面的十五规划纲要里面，也是专门的有一个军工的专篇。其中也是提了一些主要的核心的方向，比如说这个有个比较大的转折，比如说十四五规划，当时核心是解决装备有没有的这个问题。那15的话就现在就是转向一个全面的这个强不强的，尤其是以体系化、智能化，然后性质生产力去优先。传统装备的话也是从大批量新增转向咱们的迭代的升级，低成本可持续批产，往这个方向去做。然后一些相关的领域，比如说新智新域的作战力量，主战装备的迭代升级，还有这个军工电子信息化、智能化等等各方向的一些细节的规划，也许就是能在咱们能能在今年年底左右，能看得到。然后这个的话可能会作为咱们整体军工这个行业或者说产业投资方向来看，或者说咱们二级投资来看，一个比较大的一个转折点。</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20:52</w:t>
      </w:r>
    </w:p>
    <w:p>
      <w:r>
        <w:rPr>
          <w:rFonts w:ascii="等线(中文正文)" w:hAnsi="等线(中文正文)" w:cs="等线(中文正文)" w:eastAsia="等线(中文正文)"/>
          <w:b w:val="false"/>
          <w:i w:val="false"/>
          <w:sz w:val="20"/>
        </w:rPr>
        <w:t>加上明年27年是比较重要的。比如说27年的8月1号，是咱们人民解放军建军100年的这个周年纪念日，这个是比较比较值得关注的一个节点。而且27年是咱们建军100年奋斗目标的这么一个国家的既定的战略节点，也是比如说要属于国防咱们国家的国防军队现代化建设三步走的第一阶段的收官节点。十5规划其实也是全部的军工的任务，都是围绕这个目标去推进实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21:30</w:t>
      </w:r>
    </w:p>
    <w:p>
      <w:r>
        <w:rPr>
          <w:rFonts w:ascii="等线(中文正文)" w:hAnsi="等线(中文正文)" w:cs="等线(中文正文)" w:eastAsia="等线(中文正文)"/>
          <w:b w:val="false"/>
          <w:i w:val="false"/>
          <w:sz w:val="20"/>
        </w:rPr>
        <w:t>至于现在讨论的有没有一些大的活动，那我们只能说从往年进行参考。比如说在17年的7月30号，也就当时我军建军90周年的时候，实际上我军在这个朱之河进行了沙场的阅兵，这是一个首次的野战的基地的阅兵，比较重大的这么一个节点。至于说明年27年会有些哪些活动呢？那我们现在也是要等待一下官方的一些通告，相信会有一些比较大的活动会出现。然后我们认为2026年作为十五军工的这个呃十五开局年，军工的各个方向的项目，包括人员的配备，这些的话预计能在今年希望会有一个圆满的落地。这样的话就是成为咱们整个大行业的一个比较大的转折，也是可以让各位投资者可以提前去关注，提前去布局。接下来三四季度的话，会有一些这分支，军工的分支方向陆续有一些，比如说好消息，好的进展会请关注公众号思维纪要社，更多纪要请加V西安20210130出来，然后到一个全面反转的一个阶段，这个也是陆续会到来的，主要进行更新这些。</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23:00</w:t>
      </w:r>
    </w:p>
    <w:p>
      <w:r>
        <w:rPr>
          <w:rFonts w:ascii="等线(中文正文)" w:hAnsi="等线(中文正文)" w:cs="等线(中文正文)" w:eastAsia="等线(中文正文)"/>
          <w:b w:val="false"/>
          <w:i w:val="false"/>
          <w:sz w:val="20"/>
        </w:rPr>
        <w:t>各位投资人，大家下午好，我是新兴产业分析师李雨佳。今天给大家汇报一下有关我们最新发的瑞典新材的一篇深度的公司的情况。首先先介绍一下公司整体的业务，它的业务包括三大部分，一大部分是做显示材料的中间体，另外一部分业务是做电子材料，还有第三大部分业务是做医药中间体。公司的整体从规模上来看，它2025年的这个收入规模差不多是16.8亿元左右。这个利润方面基本上是3.1亿元的一个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23:41</w:t>
      </w:r>
    </w:p>
    <w:p>
      <w:r>
        <w:rPr>
          <w:rFonts w:ascii="等线(中文正文)" w:hAnsi="等线(中文正文)" w:cs="等线(中文正文)" w:eastAsia="等线(中文正文)"/>
          <w:b w:val="false"/>
          <w:i w:val="false"/>
          <w:sz w:val="20"/>
        </w:rPr>
        <w:t>然后从它分三大部分业务的具体结构来看。第一大部分业务显示材料端，它主要是做两部分。一部分是做显示材料的LCD材料的中间体，另外一部分是做欧莱的材料的中间体。所以其实在它的显示材料端，它主要是是做两类型面板的原材料。然后第二大部分业务，它是做电子材料的。这个电子材料一方面是在下游供应到面板里面，另外一边是在下游供应到半导体的供应链里面。然后在这两部分，电子材料主要公司是依托这个PSPI材料以及说半导体的光刻胶材料。</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24:25</w:t>
      </w:r>
    </w:p>
    <w:p>
      <w:r>
        <w:rPr>
          <w:rFonts w:ascii="等线(中文正文)" w:hAnsi="等线(中文正文)" w:cs="等线(中文正文)" w:eastAsia="等线(中文正文)"/>
          <w:b w:val="false"/>
          <w:i w:val="false"/>
          <w:sz w:val="20"/>
        </w:rPr>
        <w:t>在PSPPI材料方面，公司基本上是已经实现了量产，并且他有打入到海外境外客户验证的供应链。公司刚刚有提到说整体是在显示材料起家的，所以它其实有一些包括说默克GNC，然后杜邦初光新产LG化学陡山这样的全国头部材料公司作为它的主要下游。所以在电子材料的介入供应方面，PSPI材料的供应，它也是有比较好的客户基础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25:00</w:t>
      </w:r>
    </w:p>
    <w:p>
      <w:r>
        <w:rPr>
          <w:rFonts w:ascii="等线(中文正文)" w:hAnsi="等线(中文正文)" w:cs="等线(中文正文)" w:eastAsia="等线(中文正文)"/>
          <w:b w:val="false"/>
          <w:i w:val="false"/>
          <w:sz w:val="20"/>
        </w:rPr>
        <w:t>在PSPI公司自己的产能布局方面，目前是有这个设计产能200吨每年预计大概会在2027年进行一个完工。所以在今年开始排产的过程中，明年基本上就可以实现整体产能的一个完全释放。PSPI这边公司做的主要是一个中间体的一个业务。从下游来看，它会供给做PSPI这个材料的公司。整体来看这个市场规模基本上是在6亿美元的一个情况。然后随着PSPI的一个应用在先进封装里面，以及说面板显示的一个放量，整体会在2035年看到会有43亿美元这样一个空间，复合增速会达到22.5%。</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25:50</w:t>
      </w:r>
    </w:p>
    <w:p>
      <w:r>
        <w:rPr>
          <w:rFonts w:ascii="等线(中文正文)" w:hAnsi="等线(中文正文)" w:cs="等线(中文正文)" w:eastAsia="等线(中文正文)"/>
          <w:b w:val="false"/>
          <w:i w:val="false"/>
          <w:sz w:val="20"/>
        </w:rPr>
        <w:t>并且从市场空间的增长的同时，国产化率的提升也是比较显著的一个带来的增量。因为当前PSPI的国产化率是不足15%的这整体是在电子材料方面公司的一个业务，以及说未来的一个增长的一个情况。另外就是在2026年2025年的话，电子材料整体板块是实现了7000万元的一个收入。26年随着说这个产品的搭建，然后它的这个光刻胶单体和这个PSPI封装材料，因为已经完成了客户验证，所以在批量化供应这个过程中，就看公司整体排产的一个速度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26:33</w:t>
      </w:r>
    </w:p>
    <w:p>
      <w:r>
        <w:rPr>
          <w:rFonts w:ascii="等线(中文正文)" w:hAnsi="等线(中文正文)" w:cs="等线(中文正文)" w:eastAsia="等线(中文正文)"/>
          <w:b w:val="false"/>
          <w:i w:val="false"/>
          <w:sz w:val="20"/>
        </w:rPr>
        <w:t>第三大业务再讲一下，其实就是公司做整体医药中间体的一个业务。公司在医药中间体这个业务方面，它目标是打造中间体下原料一体化的cdmo战略。它跟阿斯利康等全球比较知名的药企都有稳定的合作。也是看他医药管线每年下游可以上市的一个情况。目前截止2025年末，公司的医药管线是达到了351个。就是随着这各个管线的一个上市，会给公司的利润带来一个比较显著的一个增量。2025年的这个板块的收入大概是2.9 3亿元，毛利率高达40 65左右，也是公司三大板块中相当盈利能力较强的一个板块了。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27:22</w:t>
      </w:r>
    </w:p>
    <w:p>
      <w:r>
        <w:rPr>
          <w:rFonts w:ascii="等线(中文正文)" w:hAnsi="等线(中文正文)" w:cs="等线(中文正文)" w:eastAsia="等线(中文正文)"/>
          <w:b w:val="false"/>
          <w:i w:val="false"/>
          <w:sz w:val="20"/>
        </w:rPr>
        <w:t>整体我们这边是预计公司在2026到2028年规模利润会达到3.85个亿，以及说6.9亿元，同比增长22%、33和38。所以整体是对公司在今年业务比较稳定的这个情况之下，然后看他今年欧莱的材料的一个放量。随着今年在6 6月份两条新的ob线，京东跟三星的投产，以及说今年在半导体显示材，半导体材料、电子材料这边PSPI的一个排产，带来对公司利润的一个贡献。以上就是我今天的一个汇报。</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28:07</w:t>
      </w:r>
    </w:p>
    <w:p>
      <w:r>
        <w:rPr>
          <w:rFonts w:ascii="等线(中文正文)" w:hAnsi="等线(中文正文)" w:cs="等线(中文正文)" w:eastAsia="等线(中文正文)"/>
          <w:b w:val="false"/>
          <w:i w:val="false"/>
          <w:sz w:val="20"/>
        </w:rPr>
        <w:t>各位领导，大家下午好，我是方正交运的舟如飞。下面来汇报交运这边的观点。本周的话我们继续更新整个航运板块的最新变化。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28:15</w:t>
      </w:r>
    </w:p>
    <w:p>
      <w:r>
        <w:rPr>
          <w:rFonts w:ascii="等线(中文正文)" w:hAnsi="等线(中文正文)" w:cs="等线(中文正文)" w:eastAsia="等线(中文正文)"/>
          <w:b w:val="false"/>
          <w:i w:val="false"/>
          <w:sz w:val="20"/>
        </w:rPr>
        <w:t>首先是市场相对最为关注的营运板块，我们也前期也是强调过，当只有霍尔木兹海峡封锁的时候，那对于整个油运的运量是一个利空。但是经过这几个月的变化，整个运量的利空基本上预期是反映完了。并且随着这个封锁的持续，整个下游库存的消耗也是为后续的这个补库弹性正在积蓄力量。事实上其实从运量利空角度，现在比5月份之前全面封锁的状态，其实这个量还是有一定的回升幅度的。那么运量预期基本上利空预期，基本上已经见底回稳步回升了。</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28:59</w:t>
      </w:r>
    </w:p>
    <w:p>
      <w:r>
        <w:rPr>
          <w:rFonts w:ascii="等线(中文正文)" w:hAnsi="等线(中文正文)" w:cs="等线(中文正文)" w:eastAsia="等线(中文正文)"/>
          <w:b w:val="false"/>
          <w:i w:val="false"/>
          <w:sz w:val="20"/>
        </w:rPr>
        <w:t>如果是现在两大海峡，霍尔木兹海峡和曼达海峡同时封锁，那对于整个运距以及说运力周转效率角度来讲，那边际上也会利好整个运价。所以确实现在整个游轮市场处在一个相对微妙的状态，只分一边，运量利空，但已经反应的差不多了。那么两边都封，那这个运距就会有一些比较明显的明显利好。但需要注意的是运距逻辑自然是要和这个酝酿逻辑进行一个结合的。目前整个酝酿角度，可以看到整个油运从季节性角度处在一个淡季，所以整个酝酿是在一个低位震荡的情况。</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29:39</w:t>
      </w:r>
    </w:p>
    <w:p>
      <w:r>
        <w:rPr>
          <w:rFonts w:ascii="等线(中文正文)" w:hAnsi="等线(中文正文)" w:cs="等线(中文正文)" w:eastAsia="等线(中文正文)"/>
          <w:b w:val="false"/>
          <w:i w:val="false"/>
          <w:sz w:val="20"/>
        </w:rPr>
        <w:t>包括像中东，它本土的燃油发电，本土的用油的消耗量，季节性的提升，包括美国本土的这加工量的提升等等，都会对于整个出口量产生一定的影响。随着后续进入到9月底，这四季度传统旺季的到来，可能东亚这边的炼厂检修的时间窗口过去之后，可能也会恢复采购。这个和之前讲的美洲和美国和中东的消耗量与之对应，也会有一些这些性此消彼长的情况。那么对于海运量角度来讲，它会有一个节性的回升。叠加这前面提到运营这个逻辑的影响，可能会使得整个运价迎来更大的弹性。</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30:27</w:t>
      </w:r>
    </w:p>
    <w:p>
      <w:r>
        <w:rPr>
          <w:rFonts w:ascii="等线(中文正文)" w:hAnsi="等线(中文正文)" w:cs="等线(中文正文)" w:eastAsia="等线(中文正文)"/>
          <w:b w:val="false"/>
          <w:i w:val="false"/>
          <w:sz w:val="20"/>
        </w:rPr>
        <w:t>市场最为关注的终端消费国中国，何时恢复原油采购，我们倾向于其实在那前期，中国大幅下降了原油的采购，以及说原油的加工量。从目前来看，至少从八月份开始，我们的这个链路架构量预期是在逐步的稳步回升的，包括和前面提到积极性也有一定的这关联度。从经过这几个月的库存的消耗，中国原油库存大概回到了25年三季度的的状态，已经接近去年我们所谓战略补库之前的一个水平了。随着后续，如果还是保持目前，相对比较少的一个原油的进口量，中国的库存，特别是电厂商业库存的消耗，会加速的往下走。这也是为后续重新恢复原油采购，提供了这样一个触发的一个可能性。包括说其实在中国整个内需相对比较平稳的这个情况下，成品油出口配额的这样一个从前前期完全限制的状态，目前是放开，这个对于后续的整个中国原油采购也会带来一定的帮助。所以最作为最重要的一个消费国，可能中国从前期相对比较低的一个位置，也在进行一个采购量的一个回升。所以正在持续封锁的这样一个假设下，后续随着运量触底温和回升，季节性上以及说运力和运力周转效率角度的这个逻辑的发酵，我们对于整个后续的整个运价是预期向好的。</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32:11</w:t>
      </w:r>
    </w:p>
    <w:p>
      <w:r>
        <w:rPr>
          <w:rFonts w:ascii="等线(中文正文)" w:hAnsi="等线(中文正文)" w:cs="等线(中文正文)" w:eastAsia="等线(中文正文)"/>
          <w:b w:val="false"/>
          <w:i w:val="false"/>
          <w:sz w:val="20"/>
        </w:rPr>
        <w:t>那么从整个上市公司邮轮股角度，像国内的邮轮股，基本上像招人是在目前反映的是整个运价的现货的一个水平。中国海能甚至反映的还不到一年级吸收水平，更别说几期运价。所以整个国内邮轮股可能并没有隐含后续任何的整个运价上行的弹性。中瑞海甚至还有一定比较明显的安全边际。与之对应的是，海外的这邮轮股都处在一个接近接近前期高点，或者说不断创历史新高的这样一个水平。这可能他们更反映的是整个产业的景气的变化。我们可能是完全处在一个地缘消息博弈的过程当中，和产业的这个景气度和运价，特别是中期运价的这样预期是有一定的背离的。所以我们觉得国内游轮毂显然是有后续有比较大空间。</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33:09</w:t>
      </w:r>
    </w:p>
    <w:p>
      <w:r>
        <w:rPr>
          <w:rFonts w:ascii="等线(中文正文)" w:hAnsi="等线(中文正文)" w:cs="等线(中文正文)" w:eastAsia="等线(中文正文)"/>
          <w:b w:val="false"/>
          <w:i w:val="false"/>
          <w:sz w:val="20"/>
        </w:rPr>
        <w:t>我们也是继续强烈推荐中国海南以及说招商轮船，这是游泳板块，那么是干我们只强调一点，就是要关注后续整个这世界上的这样一个催化。那也就是厄尔尼诺对于整个巴拿马运河的拥堵的带来的进一步的影响。可能大家也会看到在目前巴马运河也是爆出了一些天价通行费的这样一个拍卖的一个价格。也是包括从一些等薄等待时间的数据也可以看到。要警惕这个核心枢纽它的一个后续拥堵，或者说进一步下降，降低整个船舶运力周转效率的这样一个变变量。</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33:52</w:t>
      </w:r>
    </w:p>
    <w:p>
      <w:r>
        <w:rPr>
          <w:rFonts w:ascii="等线(中文正文)" w:hAnsi="等线(中文正文)" w:cs="等线(中文正文)" w:eastAsia="等线(中文正文)"/>
          <w:b w:val="false"/>
          <w:i w:val="false"/>
          <w:sz w:val="20"/>
        </w:rPr>
        <w:t>肝散本身处在一个有效供给有限。那么铁矿包括铝土矿，包括南美粮食，增产逻辑对于整个需求是一个趋势性的这样一个催化。由此带来整个bdi运价中枢的一个稳步上行。所以它的上行的趋势以及说这个97，我们觉得是有一定的确定性的。只是说它可能相对偏温和，那么与油运对应的是不同的这个事件一旦达成它的这个催化，它是有比较强的一个爆发性。干反是属于一个景气稳步向上。它的这个爆发性的首先，当下的一个事件就是巴拿马运河或者是这种供应链事件会带来一些额外的催化。</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34:37</w:t>
      </w:r>
    </w:p>
    <w:p>
      <w:r>
        <w:rPr>
          <w:rFonts w:ascii="等线(中文正文)" w:hAnsi="等线(中文正文)" w:cs="等线(中文正文)" w:eastAsia="等线(中文正文)"/>
          <w:b w:val="false"/>
          <w:i w:val="false"/>
          <w:sz w:val="20"/>
        </w:rPr>
        <w:t>在这个集运板块，我们也是强调整个，特别是国内的中远海控，我们的这股价和运价，包括说和期货价格显然是相反，这个走势完全不同。也就是可能目前它更多是反映的是整个资产的价值，整个价值红利的这样一个导向。那么对于整个运价的这个编制景气度，其实并没有股价上并没有反应。</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35:03</w:t>
      </w:r>
    </w:p>
    <w:p>
      <w:r>
        <w:rPr>
          <w:rFonts w:ascii="等线(中文正文)" w:hAnsi="等线(中文正文)" w:cs="等线(中文正文)" w:eastAsia="等线(中文正文)"/>
          <w:b w:val="false"/>
          <w:i w:val="false"/>
          <w:sz w:val="20"/>
        </w:rPr>
        <w:t>我们还是强调整个集运股，集运股龙头它是有比较明确资产价值托底的这样一个作用，它的主业格局为运价托底，以及说这个报表端利息收益加投资收益，使得它有比较充足的这样一个利润店或者中期的盈利中枢。这个显然在这个PB估值上并没有反应，所以我们觉得后续它整个PB有长期的一个修复的空间。除了这个资产价值托底，并且还会有一些供应的事件额外的期权。每次的这样事件都会带来额外的超额利润。叠加公司50%每年分两次的这样一个，包括说2%的滚动的回购的这样一个股东回报的措施其实还是比较比较可观的一个股东回报的。所以我们也是继续看好整个中远海控作为集运龙头的价值红利的这这样一个逻辑。</w:t>
      </w:r>
    </w:p>
    <w:p>
      <w:r>
        <w:rPr>
          <w:rFonts w:ascii="等线(中文正文)" w:hAnsi="等线(中文正文)" w:cs="等线(中文正文)" w:eastAsia="等线(中文正文)"/>
          <w:b w:val="false"/>
          <w:i w:val="false"/>
          <w:sz w:val="20"/>
        </w:rPr>
        <w:t/>
      </w:r>
    </w:p>
    <w:p>
      <w:r>
        <w:rPr>
          <w:rFonts w:ascii="等线(中文正文)" w:hAnsi="等线(中文正文)" w:cs="等线(中文正文)" w:eastAsia="等线(中文正文)"/>
          <w:b w:val="false"/>
          <w:i w:val="false"/>
          <w:sz w:val="20"/>
        </w:rPr>
        <w:t>发言人1   36:01</w:t>
      </w:r>
    </w:p>
    <w:p>
      <w:r>
        <w:rPr>
          <w:rFonts w:ascii="等线(中文正文)" w:hAnsi="等线(中文正文)" w:cs="等线(中文正文)" w:eastAsia="等线(中文正文)"/>
          <w:b w:val="false"/>
          <w:i w:val="false"/>
          <w:sz w:val="20"/>
        </w:rPr>
        <w:t>以上是我们本周对于三大集运航运子板块的汇报。我们觉得今年确实三大航运子板块都有各自的机会。可能属性不同，但我们觉得都是一致看好。以上是我们交运这边的汇报，谢谢，感谢大家参加本次会议，用AI进宝获得优质复盘资料，更多专业AI工具和投研内容，打开进门F领取会员体验，祝您工作顺利，再见。</w:t>
      </w:r>
    </w:p>
  </w:body>
</w:document>
</file>

<file path=word/numbering.xml><?xml version="1.0" encoding="utf-8"?>
<w:numbering xmlns:w="http://schemas.openxmlformats.org/wordprocessingml/2006/main"/>
</file>

<file path=word/settings.xml><?xml version="1.0" encoding="utf-8"?>
<w:settings xmlns:w="http://schemas.openxmlformats.org/wordprocessingml/2006/main"/>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0">
    <w:name w:val="Normal"/>
    <w:qFormat/>
    <w:rsid w:val="003139B0"/>
    <w:pPr>
      <w:widowControl w:val="0"/>
      <w:spacing w:line="360" w:lineRule="auto"/>
      <w:jc w:val="both"/>
    </w:pPr>
    <w:rPr>
      <w:color w:val="404040" w:themeColor="text1" w:themeTint="BF"/>
    </w:rPr>
  </w:style>
  <w:style w:type="paragraph" w:styleId="2">
    <w:name w:val="heading 2"/>
    <w:basedOn w:val="a0"/>
    <w:next w:val="a0"/>
    <w:link w:val="21"/>
    <w:uiPriority w:val="9"/>
    <w:unhideWhenUsed/>
    <w:qFormat/>
    <w:rsid w:val="006267B3"/>
    <w:pPr>
      <w:keepNext/>
      <w:keepLines/>
      <w:spacing w:before="260" w:after="260" w:line="416" w:lineRule="auto"/>
      <w:jc w:val="left"/>
      <w:outlineLvl w:val="1"/>
    </w:pPr>
    <w:rPr>
      <w:rFonts w:asciiTheme="majorHAnsi" w:hAnsiTheme="majorHAnsi" w:cstheme="majorBidi"/>
      <w:bCs/>
      <w:color w:val="27264D"/>
      <w:sz w:val="30"/>
      <w:szCs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Title"/>
    <w:basedOn w:val="a0"/>
    <w:next w:val="a0"/>
    <w:link w:val="a5"/>
    <w:uiPriority w:val="10"/>
    <w:qFormat/>
    <w:rsid w:val="008E22A6"/>
    <w:pPr>
      <w:spacing w:before="240" w:after="60"/>
      <w:jc w:val="center"/>
      <w:outlineLvl w:val="0"/>
    </w:pPr>
    <w:rPr>
      <w:rFonts w:asciiTheme="majorHAnsi" w:eastAsiaTheme="majorEastAsia" w:hAnsiTheme="majorHAnsi" w:cstheme="majorBidi"/>
      <w:b/>
      <w:bCs/>
      <w:sz w:val="32"/>
      <w:szCs w:val="32"/>
    </w:rPr>
  </w:style>
  <w:style w:type="character" w:customStyle="1" w:styleId="a5">
    <w:name w:val="标题 字符"/>
    <w:basedOn w:val="a1"/>
    <w:link w:val="a4"/>
    <w:uiPriority w:val="10"/>
    <w:rsid w:val="008E22A6"/>
    <w:rPr>
      <w:rFonts w:asciiTheme="majorHAnsi" w:eastAsiaTheme="majorEastAsia" w:hAnsiTheme="majorHAnsi" w:cstheme="majorBidi"/>
      <w:b/>
      <w:bCs/>
      <w:sz w:val="32"/>
      <w:szCs w:val="32"/>
    </w:rPr>
  </w:style>
  <w:style w:type="character" w:customStyle="1" w:styleId="21">
    <w:name w:val="标题 2 字符"/>
    <w:basedOn w:val="a1"/>
    <w:link w:val="2"/>
    <w:uiPriority w:val="9"/>
    <w:rsid w:val="006267B3"/>
    <w:rPr>
      <w:rFonts w:asciiTheme="majorHAnsi" w:eastAsia="微软雅黑" w:hAnsiTheme="majorHAnsi" w:cstheme="majorBidi"/>
      <w:bCs/>
      <w:color w:val="27264D"/>
      <w:sz w:val="30"/>
      <w:szCs w:val="32"/>
    </w:rPr>
  </w:style>
  <w:style w:type="character" w:styleId="a6">
    <w:name w:val="Strong"/>
    <w:basedOn w:val="a1"/>
    <w:uiPriority w:val="22"/>
    <w:qFormat/>
    <w:rsid w:val="006267B3"/>
    <w:rPr>
      <w:rFonts w:eastAsia="微软雅黑"/>
      <w:b/>
      <w:bCs/>
      <w:i w:val="0"/>
      <w:color w:val="27264D"/>
    </w:rPr>
  </w:style>
  <w:style w:type="paragraph" w:customStyle="1" w:styleId="a7">
    <w:name w:val="一级标题"/>
    <w:basedOn w:val="a8"/>
    <w:autoRedefine/>
    <w:qFormat/>
    <w:rsid w:val="00511359"/>
    <w:pPr>
      <w:jc w:val="left"/>
    </w:pPr>
    <w:rPr>
      <w:bCs w:val="0"/>
      <w:color w:val="000000" w:themeColor="text1"/>
      <w:sz w:val="30"/>
    </w:rPr>
  </w:style>
  <w:style w:type="paragraph" w:styleId="a8">
    <w:name w:val="Subtitle"/>
    <w:basedOn w:val="a0"/>
    <w:next w:val="a0"/>
    <w:link w:val="a9"/>
    <w:uiPriority w:val="11"/>
    <w:qFormat/>
    <w:rsid w:val="006267B3"/>
    <w:pPr>
      <w:spacing w:before="240" w:after="60" w:line="312" w:lineRule="auto"/>
      <w:jc w:val="center"/>
      <w:outlineLvl w:val="1"/>
    </w:pPr>
    <w:rPr>
      <w:b/>
      <w:bCs/>
      <w:kern w:val="28"/>
      <w:sz w:val="32"/>
      <w:szCs w:val="32"/>
    </w:rPr>
  </w:style>
  <w:style w:type="character" w:customStyle="1" w:styleId="a9">
    <w:name w:val="副标题 字符"/>
    <w:basedOn w:val="a1"/>
    <w:link w:val="a8"/>
    <w:uiPriority w:val="11"/>
    <w:rsid w:val="006267B3"/>
    <w:rPr>
      <w:b/>
      <w:bCs/>
      <w:color w:val="474667"/>
      <w:kern w:val="28"/>
      <w:sz w:val="32"/>
      <w:szCs w:val="32"/>
    </w:rPr>
  </w:style>
  <w:style w:type="paragraph" w:customStyle="1" w:styleId="aa">
    <w:name w:val="标签"/>
    <w:basedOn w:val="ab"/>
    <w:qFormat/>
    <w:rsid w:val="00865510"/>
    <w:rPr>
      <w:szCs w:val="21"/>
    </w:rPr>
  </w:style>
  <w:style w:type="paragraph" w:customStyle="1" w:styleId="a">
    <w:name w:val="时间戳+章节"/>
    <w:basedOn w:val="a0"/>
    <w:qFormat/>
    <w:rsid w:val="00D86193"/>
    <w:pPr>
      <w:numPr>
        <w:numId w:val="17"/>
      </w:numPr>
    </w:pPr>
  </w:style>
  <w:style w:type="paragraph" w:customStyle="1" w:styleId="ac">
    <w:name w:val="大标题"/>
    <w:basedOn w:val="a4"/>
    <w:autoRedefine/>
    <w:qFormat/>
    <w:rsid w:val="00511359"/>
    <w:rPr>
      <w:rFonts w:asciiTheme="minorHAnsi" w:eastAsiaTheme="minorEastAsia" w:hAnsiTheme="minorHAnsi"/>
      <w:color w:val="000000" w:themeColor="text1"/>
      <w:sz w:val="36"/>
      <w:szCs w:val="36"/>
    </w:rPr>
  </w:style>
  <w:style w:type="paragraph" w:customStyle="1" w:styleId="ab">
    <w:name w:val="二级正文"/>
    <w:basedOn w:val="a0"/>
    <w:qFormat/>
    <w:rsid w:val="00F069C6"/>
    <w:rPr>
      <w:b/>
    </w:rPr>
  </w:style>
  <w:style w:type="numbering" w:customStyle="1" w:styleId="1">
    <w:name w:val="当前列表1"/>
    <w:uiPriority w:val="99"/>
    <w:rsid w:val="00C07DA3"/>
  </w:style>
  <w:style w:type="numbering" w:customStyle="1" w:styleId="22">
    <w:name w:val="当前列表2"/>
    <w:uiPriority w:val="99"/>
    <w:rsid w:val="00C07DA3"/>
  </w:style>
  <w:style w:type="numbering" w:customStyle="1" w:styleId="3">
    <w:name w:val="当前列表3"/>
    <w:uiPriority w:val="99"/>
    <w:rsid w:val="00C07DA3"/>
  </w:style>
  <w:style w:type="numbering" w:customStyle="1" w:styleId="4">
    <w:name w:val="当前列表4"/>
    <w:uiPriority w:val="99"/>
    <w:rsid w:val="00C07DA3"/>
  </w:style>
  <w:style w:type="numbering" w:customStyle="1" w:styleId="5">
    <w:name w:val="当前列表5"/>
    <w:uiPriority w:val="99"/>
    <w:rsid w:val="00C07DA3"/>
  </w:style>
  <w:style w:type="numbering" w:customStyle="1" w:styleId="6">
    <w:name w:val="当前列表6"/>
    <w:uiPriority w:val="99"/>
    <w:rsid w:val="00C07DA3"/>
  </w:style>
  <w:style w:type="numbering" w:customStyle="1" w:styleId="7">
    <w:name w:val="当前列表7"/>
    <w:uiPriority w:val="99"/>
    <w:rsid w:val="00C07DA3"/>
  </w:style>
  <w:style w:type="numbering" w:customStyle="1" w:styleId="8">
    <w:name w:val="当前列表8"/>
    <w:uiPriority w:val="99"/>
    <w:rsid w:val="00933C9B"/>
  </w:style>
  <w:style w:type="numbering" w:customStyle="1" w:styleId="9">
    <w:name w:val="当前列表9"/>
    <w:uiPriority w:val="99"/>
    <w:rsid w:val="00933C9B"/>
  </w:style>
  <w:style w:type="numbering" w:customStyle="1" w:styleId="10">
    <w:name w:val="当前列表10"/>
    <w:uiPriority w:val="99"/>
    <w:rsid w:val="00933C9B"/>
  </w:style>
  <w:style w:type="numbering" w:customStyle="1" w:styleId="11">
    <w:name w:val="当前列表11"/>
    <w:uiPriority w:val="99"/>
    <w:rsid w:val="00933C9B"/>
  </w:style>
  <w:style w:type="numbering" w:customStyle="1" w:styleId="12">
    <w:name w:val="当前列表12"/>
    <w:uiPriority w:val="99"/>
    <w:rsid w:val="00933C9B"/>
  </w:style>
  <w:style w:type="numbering" w:customStyle="1" w:styleId="13">
    <w:name w:val="当前列表13"/>
    <w:uiPriority w:val="99"/>
    <w:rsid w:val="00774E72"/>
  </w:style>
  <w:style w:type="numbering" w:customStyle="1" w:styleId="14">
    <w:name w:val="当前列表14"/>
    <w:uiPriority w:val="99"/>
    <w:rsid w:val="00774E72"/>
  </w:style>
  <w:style w:type="numbering" w:customStyle="1" w:styleId="15">
    <w:name w:val="当前列表15"/>
    <w:uiPriority w:val="99"/>
    <w:rsid w:val="00774E72"/>
  </w:style>
  <w:style w:type="numbering" w:customStyle="1" w:styleId="16">
    <w:name w:val="当前列表16"/>
    <w:uiPriority w:val="99"/>
    <w:rsid w:val="00774E72"/>
  </w:style>
  <w:style w:type="numbering" w:customStyle="1" w:styleId="17">
    <w:name w:val="当前列表17"/>
    <w:uiPriority w:val="99"/>
    <w:rsid w:val="00774E72"/>
  </w:style>
  <w:style w:type="numbering" w:customStyle="1" w:styleId="18">
    <w:name w:val="当前列表18"/>
    <w:uiPriority w:val="99"/>
    <w:rsid w:val="00774E72"/>
  </w:style>
  <w:style w:type="numbering" w:customStyle="1" w:styleId="19">
    <w:name w:val="当前列表19"/>
    <w:uiPriority w:val="99"/>
    <w:rsid w:val="00774E72"/>
  </w:style>
  <w:style w:type="numbering" w:customStyle="1" w:styleId="20">
    <w:name w:val="当前列表20"/>
    <w:uiPriority w:val="99"/>
    <w:rsid w:val="00865510"/>
    <w:pPr>
      <w:numPr>
        <w:numId w:val="44"/>
      </w:numPr>
    </w:pPr>
  </w:style>
</w:styles>
</file>

<file path=word/_rels/document.xml.rels><?xml version="1.0" encoding="UTF-8" standalone="yes"?><Relationships xmlns="http://schemas.openxmlformats.org/package/2006/relationships"><Relationship Id="rId1" Target="settings.xml" Type="http://schemas.openxmlformats.org/officeDocument/2006/relationships/settings"/><Relationship Id="rId2" Target="numbering.xml" Type="http://schemas.openxmlformats.org/officeDocument/2006/relationships/numbering"/><Relationship Id="rId3" Target="styles.xml" Type="http://schemas.openxmlformats.org/officeDocument/2006/relationships/styles"/></Relationships>
</file>

<file path=docProps/app.xml><?xml version="1.0" encoding="utf-8"?>
<Properties xmlns="http://schemas.openxmlformats.org/officeDocument/2006/extended-properties">
  <Application>Apache POI</Application>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2026-08-16T14:44:22Z</dcterms:created>
  <dc:creator>Apache POI</dc:creator>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roperty1">
    <vt:lpwstr>E6636BB100BBAFBB4581D91E6DDB8294A311BE8C93FDD7980A2D463F47DFE55A6EBB9DEC4755EDD4A816E7099C1F40D85F6D94C31F5B2836598A0C765602CE46CA3AF35</vt:lpwstr>
  </property>
</Properties>
</file>