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国金策略 策略周论：市场是流动的 260816_导读</w:t>
      </w:r>
    </w:p>
    <w:p>
      <w:pPr>
        <w:pStyle w:val="a0"/>
        <w:jc w:val="center"/>
      </w:pPr>
      <w:r>
        <w:t>2026年08月16日 22:41</w:t>
      </w:r>
    </w:p>
    <w:p>
      <w:pPr>
        <w:pStyle w:val="a7"/>
      </w:pPr>
      <w:r>
        <w:t>关键词</w:t>
      </w:r>
    </w:p>
    <w:p>
      <w:r>
        <w:rPr>
          <w:rFonts w:ascii="等线(中文正文)" w:hAnsi="等线(中文正文)" w:cs="等线(中文正文)" w:eastAsia="等线(中文正文)"/>
          <w:b w:val="false"/>
          <w:i w:val="false"/>
          <w:sz w:val="20"/>
        </w:rPr>
        <w:t xml:space="preserve">市场 科技 美国 中国 流动性 产业链 AI 反弹 债务 利率 出口 投资 高股息 实物资产 等权组合 美股 创业板 金融资产 </w:t>
      </w:r>
    </w:p>
    <w:p>
      <w:r>
        <w:rPr>
          <w:rFonts w:ascii="等线(中文正文)" w:hAnsi="等线(中文正文)" w:cs="等线(中文正文)" w:eastAsia="等线(中文正文)"/>
          <w:b w:val="false"/>
          <w:i w:val="false"/>
          <w:sz w:val="20"/>
        </w:rPr>
        <w:t/>
      </w:r>
    </w:p>
    <w:p>
      <w:pPr>
        <w:pStyle w:val="a7"/>
      </w:pPr>
      <w:r>
        <w:t>全文摘要</w:t>
      </w:r>
    </w:p>
    <w:p>
      <w:r>
        <w:rPr>
          <w:rFonts w:ascii="等线(中文正文)" w:hAnsi="等线(中文正文)" w:cs="等线(中文正文)" w:eastAsia="等线(中文正文)"/>
          <w:b w:val="false"/>
          <w:i w:val="false"/>
          <w:sz w:val="20"/>
        </w:rPr>
        <w:t>近期市场动态显示，自七月份以来，全球AI资产普遍下跌，尤其在美、日韩、中国台湾和内地市场表现明显，反映出宏观层面担忧与通胀对市场流动性的影响。尽管如此，纳斯达克指数已基本恢复至先前高点，而创业板指波动较大。科技领域内，AI应用商业化与云厂商资本扩张成为投资热点，同时，中美科技差异及中国科技公司面临的挑战被提及。美国政府推动产业链利润回流策略，凸显全球科技底层内核对美国经济的重要性。展望未来，建议采取保守投资态度，关注实物资产需求恢复，同时考虑商品等权组合、高股息策略及出口出海布局，以应对科技股不确定性。</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全球AI资产下跌与国内科技市场分化分析</w:t>
      </w:r>
    </w:p>
    <w:p>
      <w:r>
        <w:rPr>
          <w:rFonts w:ascii="等线(中文正文)" w:hAnsi="等线(中文正文)" w:cs="等线(中文正文)" w:eastAsia="等线(中文正文)"/>
          <w:b w:val="false"/>
          <w:i w:val="false"/>
          <w:sz w:val="20"/>
        </w:rPr>
        <w:t>对话讨论了全球范围内AI资产自7月以来的普遍下跌，尤其关注了美国、日韩及中国市场的表现。尽管宏观担忧有所缓解，韩国科技股反弹有限。国内电子通信领域内部分化加剧，创业板表现弱于纳斯达克。分析指出，产业链看法变化及海外业绩爆发对国内映射有限，光伏产业链利润持续性存疑。</w:t>
      </w:r>
    </w:p>
    <w:p>
      <w:r>
        <w:rPr>
          <w:rFonts w:ascii="等线(中文正文)" w:hAnsi="等线(中文正文)" w:cs="等线(中文正文)" w:eastAsia="等线(中文正文)"/>
          <w:b w:val="false"/>
          <w:i w:val="false"/>
          <w:sz w:val="20"/>
        </w:rPr>
        <w:t/>
      </w:r>
    </w:p>
    <w:p>
      <w:pPr>
        <w:pStyle w:val="ab"/>
        <w:numPr>
          <w:numId w:val="2"/>
        </w:numPr>
      </w:pPr>
      <w:r>
        <w:t>03:59 科技产业链利润回流与中美经济动态分析</w:t>
      </w:r>
    </w:p>
    <w:p>
      <w:r>
        <w:rPr>
          <w:rFonts w:ascii="等线(中文正文)" w:hAnsi="等线(中文正文)" w:cs="等线(中文正文)" w:eastAsia="等线(中文正文)"/>
          <w:b w:val="false"/>
          <w:i w:val="false"/>
          <w:sz w:val="20"/>
        </w:rPr>
        <w:t>对话探讨了美国政府通过直接遏制高利润率部门和吸引海外投资实现利润回流的策略，指出中国企业在面对产业链脱钩风险的同时，其贸易顺差转化为美国金融资产的趋势。分析显示，2025年下半年企业对AI产品支付意愿提升，但债务增速快于市场规模可能影响持续融资。科技领域投资高位，实际利率回落缓慢，全球景气扩张国家数量下降，预示利率下行传导需时。</w:t>
      </w:r>
    </w:p>
    <w:p>
      <w:r>
        <w:rPr>
          <w:rFonts w:ascii="等线(中文正文)" w:hAnsi="等线(中文正文)" w:cs="等线(中文正文)" w:eastAsia="等线(中文正文)"/>
          <w:b w:val="false"/>
          <w:i w:val="false"/>
          <w:sz w:val="20"/>
        </w:rPr>
        <w:t/>
      </w:r>
    </w:p>
    <w:p>
      <w:pPr>
        <w:pStyle w:val="ab"/>
        <w:numPr>
          <w:numId w:val="3"/>
        </w:numPr>
      </w:pPr>
      <w:r>
        <w:t>07:41 科技与实物资产投资策略分析</w:t>
      </w:r>
    </w:p>
    <w:p>
      <w:r>
        <w:rPr>
          <w:rFonts w:ascii="等线(中文正文)" w:hAnsi="等线(中文正文)" w:cs="等线(中文正文)" w:eastAsia="等线(中文正文)"/>
          <w:b w:val="false"/>
          <w:i w:val="false"/>
          <w:sz w:val="20"/>
        </w:rPr>
        <w:t>对话深入探讨了科技行业与实物资产在当前经济环境下的投资机会与挑战。指出科技领域虽处高景气但存在裂痕，资产价值可能受时间考验；实物资产需等待需求恢复，市场整体呈现青黄不接趋势。推荐策略包括商品等权组合、高股息策略及出口导向布局。科技反弹面临高度不确定性，尤其是中国科技股，受资金回流美国影响，未来表现可能弱势。</w:t>
      </w:r>
    </w:p>
    <w:p>
      <w:r>
        <w:rPr>
          <w:rFonts w:ascii="等线(中文正文)" w:hAnsi="等线(中文正文)" w:cs="等线(中文正文)" w:eastAsia="等线(中文正文)"/>
          <w:b w:val="false"/>
          <w:i w:val="false"/>
          <w:sz w:val="20"/>
        </w:rPr>
        <w:t/>
      </w:r>
    </w:p>
    <w:p>
      <w:pPr>
        <w:pStyle w:val="a7"/>
      </w:pPr>
      <w:r>
        <w:t>发言总结</w:t>
      </w:r>
    </w:p>
    <w:p>
      <w:pPr>
        <w:pStyle w:val="ab"/>
        <w:numPr>
          <w:numId w:val="4"/>
        </w:numPr>
      </w:pPr>
      <w:r>
        <w:t>发言人1</w:t>
      </w:r>
    </w:p>
    <w:p>
      <w:r>
        <w:rPr>
          <w:rFonts w:ascii="等线(中文正文)" w:hAnsi="等线(中文正文)" w:cs="等线(中文正文)" w:eastAsia="等线(中文正文)"/>
          <w:b w:val="false"/>
          <w:i w:val="false"/>
          <w:sz w:val="20"/>
        </w:rPr>
        <w:t>他在国金策略周会上深入分析了当前市场流动性和投资环境的动态变化，指出尽管市场总体稳定，但投资者对科技领域表现的担忧增加，尤其关注美股对国内科技股的影响。他详细讨论了AI资产的下跌、宏观环境的不确定性以及科技行业的反弹趋势，同时强调了不同国家和地区科技股表现的差异性。他还提及了科技产业链面临的挑战、全球资金流向美国的倾向，以及对中国科技行业的长期展望。他建议投资者应持谨慎态度，重视实物资产需求的恢复，并强调了高股息策略及出口导向型投资布局的重要性。</w:t>
      </w:r>
    </w:p>
    <w:p>
      <w:r>
        <w:rPr>
          <w:rFonts w:ascii="等线(中文正文)" w:hAnsi="等线(中文正文)" w:cs="等线(中文正文)" w:eastAsia="等线(中文正文)"/>
          <w:b w:val="false"/>
          <w:i w:val="false"/>
          <w:sz w:val="20"/>
        </w:rPr>
        <w:t/>
      </w:r>
    </w:p>
    <w:p>
      <w:pPr>
        <w:pStyle w:val="a7"/>
      </w:pPr>
      <w:r>
        <w:t>要点回顾</w:t>
      </w:r>
    </w:p>
    <w:p>
      <w:pPr>
        <w:pStyle w:val="ab"/>
      </w:pPr>
      <w:r>
        <w:t>近期市场表现如何？对于部分投资者来说是否低于预期？全球科技股的情况如何？有哪些市场出现了反弹？</w:t>
      </w:r>
    </w:p>
    <w:p>
      <w:r>
        <w:rPr>
          <w:rFonts w:ascii="等线(中文正文)" w:hAnsi="等线(中文正文)" w:cs="等线(中文正文)" w:eastAsia="等线(中文正文)"/>
          <w:b w:val="false"/>
          <w:i w:val="false"/>
          <w:sz w:val="20"/>
        </w:rPr>
        <w:t>发言人1：近期市场整体表现还行，但对部分投资者而言可能是低于预期的。尤其是看美股做国内科技的投资者，这是因为自七月份以来，全球AI资产普遍下跌，主要集中在美、日韩、中国台湾和中国内地部分市场。不过，在宏观层面，担忧有所放缓，例如美联储短期加息预期回落，这对市场流动性有一定改善。韩国科技股出现了明显反弹，但若考虑到之前的跌幅，其今年以来的表现仍偏弱。相比之下，美国科技股最强劲，即使在AI内部也存在EPS超预期但股价大跌的现象，这主要是由于基本面利好但市场对利好信息反应不充分，更多是预期缓解而非新一轮上行周期。</w:t>
      </w:r>
    </w:p>
    <w:p>
      <w:r>
        <w:rPr>
          <w:rFonts w:ascii="等线(中文正文)" w:hAnsi="等线(中文正文)" w:cs="等线(中文正文)" w:eastAsia="等线(中文正文)"/>
          <w:b w:val="false"/>
          <w:i w:val="false"/>
          <w:sz w:val="20"/>
        </w:rPr>
        <w:t/>
      </w:r>
    </w:p>
    <w:p>
      <w:pPr>
        <w:pStyle w:val="ab"/>
      </w:pPr>
      <w:r>
        <w:t>国内电子通信资产的表现和市场的关注点是什么？</w:t>
      </w:r>
    </w:p>
    <w:p>
      <w:r>
        <w:rPr>
          <w:rFonts w:ascii="等线(中文正文)" w:hAnsi="等线(中文正文)" w:cs="等线(中文正文)" w:eastAsia="等线(中文正文)"/>
          <w:b w:val="false"/>
          <w:i w:val="false"/>
          <w:sz w:val="20"/>
        </w:rPr>
        <w:t>发言人1：本周国内电子通信资产内部收益分化加大，上涨个股占比明显回落，指数表现尚可，但在AI产业链上存在结构性问题。此外，医药、房地产、食品等行业也在活跃状态。纳斯达克指数已基本修复到前高点，而创业板指与纳斯达克相比，波动率较高且与新高位置差距较大，A股在分歧中修复。</w:t>
      </w:r>
    </w:p>
    <w:p>
      <w:r>
        <w:rPr>
          <w:rFonts w:ascii="等线(中文正文)" w:hAnsi="等线(中文正文)" w:cs="等线(中文正文)" w:eastAsia="等线(中文正文)"/>
          <w:b w:val="false"/>
          <w:i w:val="false"/>
          <w:sz w:val="20"/>
        </w:rPr>
        <w:t/>
      </w:r>
    </w:p>
    <w:p>
      <w:pPr>
        <w:pStyle w:val="ab"/>
      </w:pPr>
      <w:r>
        <w:t>科技反弹背后有哪些驱动因素以及对中国产业链的影响？</w:t>
      </w:r>
    </w:p>
    <w:p>
      <w:r>
        <w:rPr>
          <w:rFonts w:ascii="等线(中文正文)" w:hAnsi="等线(中文正文)" w:cs="等线(中文正文)" w:eastAsia="等线(中文正文)"/>
          <w:b w:val="false"/>
          <w:i w:val="false"/>
          <w:sz w:val="20"/>
        </w:rPr>
        <w:t>发言人1：科技反弹中，产业链看法发生变化，新的投资思路如AI应用商业化兑现、云厂商资本扩张与商业化路径初步闭环等出现。然而，这些对国内产业链的映射有限，因为中国大部分业绩爆发点集中在海外链条环节。同时，美国政府正在推动产业链利润回流，通过遏制高利润率部门、吸引企业增加在美国投资等方式，这可能导致中国面临产业链脱钩风险，并且即使赚取美金也可能因企业选择不结汇而导致流动性往美国走。</w:t>
      </w:r>
    </w:p>
    <w:p>
      <w:r>
        <w:rPr>
          <w:rFonts w:ascii="等线(中文正文)" w:hAnsi="等线(中文正文)" w:cs="等线(中文正文)" w:eastAsia="等线(中文正文)"/>
          <w:b w:val="false"/>
          <w:i w:val="false"/>
          <w:sz w:val="20"/>
        </w:rPr>
        <w:t/>
      </w:r>
    </w:p>
    <w:p>
      <w:pPr>
        <w:pStyle w:val="ab"/>
      </w:pPr>
      <w:r>
        <w:t>当前基本面情况如何？AI投资是否存在挑战？</w:t>
      </w:r>
    </w:p>
    <w:p>
      <w:r>
        <w:rPr>
          <w:rFonts w:ascii="等线(中文正文)" w:hAnsi="等线(中文正文)" w:cs="等线(中文正文)" w:eastAsia="等线(中文正文)"/>
          <w:b w:val="false"/>
          <w:i w:val="false"/>
          <w:sz w:val="20"/>
        </w:rPr>
        <w:t>发言人1：自2025年下半年以来，企业对AI产品的支付意愿显著提升，API调用市场活跃。但最近随着中国大模型切入及量增放缓，债务增速加快，对持续融资不利。同时，实际利率下行对科技领域有利，但信贷表外扩张可能接近临界点，需关注其拐头或跟不上利率增长的情况。实物资产方面，AI投资高位且增速放缓，实际利率高位回落但不顺畅，大宗商品投资存在低位震荡和节奏不确定的情况。</w:t>
      </w:r>
    </w:p>
    <w:p>
      <w:r>
        <w:rPr>
          <w:rFonts w:ascii="等线(中文正文)" w:hAnsi="等线(中文正文)" w:cs="等线(中文正文)" w:eastAsia="等线(中文正文)"/>
          <w:b w:val="false"/>
          <w:i w:val="false"/>
          <w:sz w:val="20"/>
        </w:rPr>
        <w:t/>
      </w:r>
    </w:p>
    <w:p>
      <w:pPr>
        <w:pStyle w:val="ab"/>
      </w:pPr>
      <w:r>
        <w:t>针对当前市场状况，有什么投资建议？</w:t>
      </w:r>
    </w:p>
    <w:p>
      <w:r>
        <w:rPr>
          <w:rFonts w:ascii="等线(中文正文)" w:hAnsi="等线(中文正文)" w:cs="等线(中文正文)" w:eastAsia="等线(中文正文)"/>
          <w:b w:val="false"/>
          <w:i w:val="false"/>
          <w:sz w:val="20"/>
        </w:rPr>
        <w:t>发言人1：在当前市场青黄不接时期，推荐关注具有安全边际的资产，尤其是实物资产需求逐渐恢复的过程可能较为波折。科技股表现高度不确定，尤其是中国科技股相对弱势，这与本轮资金回流美国的底层科技属性高度相关。因此，投资策略围绕商品等权组合、高股息策略及出口出海布局。</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2026-08-16T14:44:21Z</dcterms:created>
  <dc:creator>Apache POI</dc:creator>
</cp:coreProperties>
</file>