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ac"/>
      </w:pPr>
      <w:r>
        <w:t>华金策略 - 聚焦一刻系列会议第144期：科技中期调整结束了吗？ 260816_导读</w:t>
      </w:r>
    </w:p>
    <w:p>
      <w:pPr>
        <w:pStyle w:val="a0"/>
        <w:jc w:val="center"/>
      </w:pPr>
      <w:r>
        <w:t>2026年08月16日 22:38</w:t>
      </w:r>
    </w:p>
    <w:p>
      <w:pPr>
        <w:pStyle w:val="a7"/>
      </w:pPr>
      <w:r>
        <w:t>关键词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 xml:space="preserve">A股 科技 反弹 利空 美联储 通胀 非农就业 美元指数 政策 流动性 基本面 盈利 PMI 工业企业利润 地产销售 出口 六张网 财政资金 资本市场 长期资金 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全文摘要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近期A股经历反弹后进入震荡盘整，市场担忧反弹势头减弱，特别对科技行业反弹持谨慎态度。然而，分析指出A股反弹趋势未完，仍有上行空间，科技行业亦未结束反弹，甚至可能实现反转并创新高。此观点基于美伊紧张局势缓和、油价影响减轻、美联储政策趋向温和等正面因素，加之基本面回暖、政策支撑与流动性宽松等条件。强调科技行业内部强劲的产业趋势、政策利好及缺乏重大负面事件的重要性。建议投资者配置景气方向的科技成长股，涵盖电子、通信、应用相关计算机传媒等领域，并关注基本面有望改善的蓝筹行业。总体来看，预计短期内A股及科技行业仍具反弹动力，但上涨空间可能有限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章节速览</w:t>
      </w:r>
    </w:p>
    <w:p>
      <w:pPr>
        <w:pStyle w:val="ab"/>
        <w:numPr>
          <w:numId w:val="1"/>
        </w:numPr>
      </w:pPr>
      <w:r>
        <w:t>00:00 A股反弹与科技行业趋势分析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近期A股反弹后出现震荡，但分析认为反弹未结束，科技行业亦非反弹结束，而是可能反转并创新高。分析基于无新增利空因素、美伊局势缓和、美联储加息预期减弱及科技产业趋势平稳等逻辑。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2"/>
        </w:numPr>
      </w:pPr>
      <w:r>
        <w:t>08:03 超跌后反弹与反转的历史因素分析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深入探讨了股市超跌后反弹与反转的关键驱动因素，包括基本面的强弱、政策与流动性的宽松程度。历史上，基本面强劲、重大政策出台及货币政策同步宽松是导致反转的主要因素。当前经济虽有结构性回升，但整体强度偏弱，企业盈利表现更为强劲，符合部分基本面较强条件，但需关注政策和流动性变化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3"/>
        </w:numPr>
      </w:pPr>
      <w:r>
        <w:t>16:21 市场反弹分析：基本面与政策支撑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分析认为，当前市场反弹主要受基本面盈利支撑和政策积极面影响，尽管政策力度不及历史重大事件，但缺乏严监管政策和外部负面冲击，流动性环境相对宽松，预示短期市场有望继续上行，但反弹空间有限。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4"/>
        </w:numPr>
      </w:pPr>
      <w:r>
        <w:t>21:53 科技成长行业超跌后反弹与反转分析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深入探讨了科技成长行业在超跌后的反弹与反转可能性，分析了2014年以来科技成长行业的表现，指出产业趋势、政策支持、无重大负面事件及流动性宽松是影响反转的关键因素。当前AI产业趋势上行，政策偏强，无重大负面事件，科技行业盈利状况良好，估值和情绪回升但未达高点，因此预计科技成长行业可能持续反弹。建议配置景气方向的科技成长，如电子半导体、AI硬件、计算机传媒，以及创新药、电信等，同时关注蓝筹行业的周期性和消费改善机会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发言总结</w:t>
      </w:r>
    </w:p>
    <w:p>
      <w:pPr>
        <w:pStyle w:val="ab"/>
        <w:numPr>
          <w:numId w:val="5"/>
        </w:numPr>
      </w:pPr>
      <w:r>
        <w:t>发言人1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他在电话会议中分析了近期A股的走势和行业方向，强调A股的反弹还未结束，即便短期内有所震荡盘整。尤其关注了科技行业，指出尽管一些个股反弹遇到压力位，但整体认为科技的反弹并未结束，甚至可能是反转，后续有望创新高。他进一步探讨了短期走势中没有新增利空因素，如美伊冲突趋于平稳，以及美联储货币政策的不确定性减弱，对资本市场的负面影响有限。同时，对于科技产业的担忧也趋于缓解，体现在全球存储公司股价企稳，科技产业趋势出现新增量，以及国内相关公司在FCC禁令下的股价表现。总结而言，他认为当前的反弹稳固且有持续上行的动力，建议配置有景气方向的科技成长股和其他潜力行业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要点回顾</w:t>
      </w:r>
    </w:p>
    <w:p>
      <w:pPr>
        <w:pStyle w:val="ab"/>
      </w:pPr>
      <w:r>
        <w:t>近期A股出现反弹后震荡盘整，很多投资者担忧这是否意味着整个反弹结束了？对于短期A股走势，没有新增利空因素的情况下，如何看待反弹是否结束的问题？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我们认为总体的A股反弹并没有结束，在震荡盘整之后可能还会继续上行。我们从两个方面来看，首先是美伊局势，目前冲突处于平稳状态，边际负面影响有限；其次是油价表现，其冲高幅度低于之前，并且在局势缓和时表现较弱，对资本市场的负面影响已经非常小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科技行业的反弹是否也已经结束？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发言人1：我们认为科技的反弹并没有结束，而且这次调整后的上涨更准确地说是反转，后续有可能还会创新高。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美联储货币政策是否会对市场构成新增利空？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发言人1：在短周期内，美联储货币政策的不确定性已显著改善，且近期公布的美国就业和通胀数据均低于预期，表明九月加息几乎不可能，降息预期也较为有限。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对于科技产业趋势的担忧是否有所缓解？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目前科技产业趋势基本平稳，没有边际利空出现。全球存储龙头公司的股价企稳并开始短期上行，科技产业中如Rubin量产、CPU量产等新的增量信息减轻了市场担忧。同时，国内FCC禁令对光模块的影响虽有情绪影响，但相关龙头公司股价依然坚挺且创出近期新高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在当前情况下，短周期内是否会出现新的、更加严重的利空因素？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发言人1：在短周期内，我们审视了之前可能存在的利空因素，发现很难再出现边际新增的严重利空，因此短期反弹相对稳固，不会因新增利空而出现大幅调整。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超跌之后的反弹能否持续或反转，有什么样的驱动因素？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我们回顾了2015年以来上证综指十次深度调整后的上涨时期，其中六次为反转，四次为反弹。不论反弹还是反转，通常持续约70个到60个交易日。当前可能尚未结束，关键在于找出背后驱动超跌后反弹或反转的核心因素。历史经验表明，不同驱动因素导致了反弹与反转的不同结果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在决定市场趋势的三个因素中，什么是区分超跌后反弹和反转的关键点？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区分超跌后反弹和反转的关键在于基本面的强弱。当基本面偏强，尤其是全面回升时，可能会导致超跌后的持续反弹。例如，在六次反转中有五次出现了至少一个关键经济指标如制造业PMI、工业企业利润增速或出口增速回升的情况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政策和流动性宽松对市场反转的影响有何重要性？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政策和流动性宽松对市场反转具有显著影响。在六次市场反转中，都伴随着重大政策出台，比如供给侧改革政策、科创板注册制实施方案等，这些政策刺激了市场的反转。同时，内外货币政策趋同性宽松，如央行降准降息、美联储降息等，也明显推动了市场回升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当前政策环境是否有利于市场反弹？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当前政策环境较为积极，七月政局会议定调了比较积极的财政政策和适度宽松的货币政策，并强调了六张网建设及加快财政资金下拨速度等具体措施。虽然政策力度相比以往重大政策如924政策或2016年供给侧改革政策较弱，但整体上是偏正面的，并非降温或强监管政策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当前是否符合这些推动市场反转的因素条件？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从经济基本面看，目前呈现结构性亏损状态，整体回升强度较弱，但盈利回升较为明显，尤其是与科技相关的出口和高新技术行业制造业投资保持较高增速。从企业盈利方面看，尽管PPI同比增速有所回落，但仍维持高位，保证了工业企业利润增速的高增长。因此，当前的基本面支撑仍然存在，尤其是盈利支撑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资本市场的政策及外部风险对当前市场反转的影响如何？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目前资本市场的政策是偏正面的，没有出现严监管政策，相反，政策方向更倾向于引入长期资金、量化交易监管等积极措施。此外，外部风险方面，近期没有重大负面冲击事件，例如美伊冲突和中美关系有所改善，这些都有利于当前市场的反弹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在当前市场环境下，政策因素是否符合超跌后反转的条件？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政策方面，我们认为基本符合超跌后反转的条件。具体来说，没有出现资本市场的偏负面或严监管政策，尤其是在流动性政策上，目前流动性相对宽松，尽管未同步于美联储和国内的降准或降息，但相比之前预期，现在的流动性预期大幅宽松。美国就业、通胀及销售数据的全面回落消除了对美联储九月份加息的担忧，因此从这个角度看，流动性也是偏宽松且符合预期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微观资金状况如何影响市场反转的可能性？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发言人1：微观资金方面，大概率会进一步边际好转。由于前期融资流出较多，超过4000亿，一旦情绪企稳，融资回流将是大概率事件，这将对市场反转起到积极的作用。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总结来看，哪些因素驱动超跌后的市场反转？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发言人1：综合分析，我们认为大部分能够驱动超跌后出现反转的因素是符合的，但力度强度不如之前熊市底部的反转。因此，在短期震荡后，大盘仍有上行趋势，不过反弹空间可能相对有限。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科技板块的反弹是否结束，如何判断其持续性？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对于科技板块，我们也需判断其超跌后的反弹是否为反转。根据2014年以来科技成长行业的表现，其中包含TMT、电信、医药、军工和机械、汽车等八个行业。我们发现，有时段大幅调整后，有产业趋势的行业如TMT、电信、医药，有七次是反弹，三次是反转，反转概率较高。其中关键决定因素包括强产业趋势、强政策催化以及无重大外部负面事件，同时流动性的大幅宽松也有助于科技成长行业的反转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当前科技行业的配置方向有哪些推荐？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基于当前科技行业的产业趋势仍在上行、政策强力支持、无重大负面事件影响等有利条件，我们建议配置有景气方向的科技成长行业，特别是与硬件相关的电子（如半导体和AI硬件）、通信（如AI硬件）以及应用相关的计算机和传媒。此外，创新药、电信以及商业航天等领域也具有配置机会。对于蓝筹行业，部分周期品如有色金属以及基本面可能改善的券商、消费等行业也可考虑配置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139B0"/>
    <w:pPr>
      <w:widowControl w:val="0"/>
      <w:spacing w:line="360" w:lineRule="auto"/>
      <w:jc w:val="both"/>
    </w:pPr>
    <w:rPr>
      <w:color w:val="404040" w:themeColor="text1" w:themeTint="BF"/>
    </w:rPr>
  </w:style>
  <w:style w:type="paragraph" w:styleId="2">
    <w:name w:val="heading 2"/>
    <w:basedOn w:val="a0"/>
    <w:next w:val="a0"/>
    <w:link w:val="21"/>
    <w:uiPriority w:val="9"/>
    <w:unhideWhenUsed/>
    <w:qFormat/>
    <w:rsid w:val="006267B3"/>
    <w:pPr>
      <w:keepNext/>
      <w:keepLines/>
      <w:spacing w:before="260" w:after="260" w:line="416" w:lineRule="auto"/>
      <w:jc w:val="left"/>
      <w:outlineLvl w:val="1"/>
    </w:pPr>
    <w:rPr>
      <w:rFonts w:asciiTheme="majorHAnsi" w:hAnsiTheme="majorHAnsi" w:cstheme="majorBidi"/>
      <w:bCs/>
      <w:color w:val="27264D"/>
      <w:sz w:val="30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8E22A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1"/>
    <w:link w:val="a4"/>
    <w:uiPriority w:val="10"/>
    <w:rsid w:val="008E22A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"/>
    <w:basedOn w:val="a1"/>
    <w:link w:val="2"/>
    <w:uiPriority w:val="9"/>
    <w:rsid w:val="006267B3"/>
    <w:rPr>
      <w:rFonts w:asciiTheme="majorHAnsi" w:eastAsia="微软雅黑" w:hAnsiTheme="majorHAnsi" w:cstheme="majorBidi"/>
      <w:bCs/>
      <w:color w:val="27264D"/>
      <w:sz w:val="30"/>
      <w:szCs w:val="32"/>
    </w:rPr>
  </w:style>
  <w:style w:type="character" w:styleId="a6">
    <w:name w:val="Strong"/>
    <w:basedOn w:val="a1"/>
    <w:uiPriority w:val="22"/>
    <w:qFormat/>
    <w:rsid w:val="006267B3"/>
    <w:rPr>
      <w:rFonts w:eastAsia="微软雅黑"/>
      <w:b/>
      <w:bCs/>
      <w:i w:val="0"/>
      <w:color w:val="27264D"/>
    </w:rPr>
  </w:style>
  <w:style w:type="paragraph" w:customStyle="1" w:styleId="a7">
    <w:name w:val="一级标题"/>
    <w:basedOn w:val="a8"/>
    <w:autoRedefine/>
    <w:qFormat/>
    <w:rsid w:val="00511359"/>
    <w:pPr>
      <w:jc w:val="left"/>
    </w:pPr>
    <w:rPr>
      <w:bCs w:val="0"/>
      <w:color w:val="000000" w:themeColor="text1"/>
      <w:sz w:val="30"/>
    </w:rPr>
  </w:style>
  <w:style w:type="paragraph" w:styleId="a8">
    <w:name w:val="Subtitle"/>
    <w:basedOn w:val="a0"/>
    <w:next w:val="a0"/>
    <w:link w:val="a9"/>
    <w:uiPriority w:val="11"/>
    <w:qFormat/>
    <w:rsid w:val="006267B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9">
    <w:name w:val="副标题 字符"/>
    <w:basedOn w:val="a1"/>
    <w:link w:val="a8"/>
    <w:uiPriority w:val="11"/>
    <w:rsid w:val="006267B3"/>
    <w:rPr>
      <w:b/>
      <w:bCs/>
      <w:color w:val="474667"/>
      <w:kern w:val="28"/>
      <w:sz w:val="32"/>
      <w:szCs w:val="32"/>
    </w:rPr>
  </w:style>
  <w:style w:type="paragraph" w:customStyle="1" w:styleId="aa">
    <w:name w:val="标签"/>
    <w:basedOn w:val="ab"/>
    <w:qFormat/>
    <w:rsid w:val="00865510"/>
    <w:rPr>
      <w:szCs w:val="21"/>
    </w:rPr>
  </w:style>
  <w:style w:type="paragraph" w:customStyle="1" w:styleId="a">
    <w:name w:val="时间戳+章节"/>
    <w:basedOn w:val="a0"/>
    <w:qFormat/>
    <w:rsid w:val="00D86193"/>
    <w:pPr>
      <w:numPr>
        <w:numId w:val="17"/>
      </w:numPr>
    </w:pPr>
  </w:style>
  <w:style w:type="paragraph" w:customStyle="1" w:styleId="ac">
    <w:name w:val="大标题"/>
    <w:basedOn w:val="a4"/>
    <w:autoRedefine/>
    <w:qFormat/>
    <w:rsid w:val="00511359"/>
    <w:rPr>
      <w:rFonts w:asciiTheme="minorHAnsi" w:eastAsiaTheme="minorEastAsia" w:hAnsiTheme="minorHAnsi"/>
      <w:color w:val="000000" w:themeColor="text1"/>
      <w:sz w:val="36"/>
      <w:szCs w:val="36"/>
    </w:rPr>
  </w:style>
  <w:style w:type="paragraph" w:customStyle="1" w:styleId="ab">
    <w:name w:val="二级正文"/>
    <w:basedOn w:val="a0"/>
    <w:qFormat/>
    <w:rsid w:val="00F069C6"/>
    <w:rPr>
      <w:b/>
    </w:rPr>
  </w:style>
  <w:style w:type="numbering" w:customStyle="1" w:styleId="1">
    <w:name w:val="当前列表1"/>
    <w:uiPriority w:val="99"/>
    <w:rsid w:val="00C07DA3"/>
  </w:style>
  <w:style w:type="numbering" w:customStyle="1" w:styleId="22">
    <w:name w:val="当前列表2"/>
    <w:uiPriority w:val="99"/>
    <w:rsid w:val="00C07DA3"/>
  </w:style>
  <w:style w:type="numbering" w:customStyle="1" w:styleId="3">
    <w:name w:val="当前列表3"/>
    <w:uiPriority w:val="99"/>
    <w:rsid w:val="00C07DA3"/>
  </w:style>
  <w:style w:type="numbering" w:customStyle="1" w:styleId="4">
    <w:name w:val="当前列表4"/>
    <w:uiPriority w:val="99"/>
    <w:rsid w:val="00C07DA3"/>
  </w:style>
  <w:style w:type="numbering" w:customStyle="1" w:styleId="5">
    <w:name w:val="当前列表5"/>
    <w:uiPriority w:val="99"/>
    <w:rsid w:val="00C07DA3"/>
  </w:style>
  <w:style w:type="numbering" w:customStyle="1" w:styleId="6">
    <w:name w:val="当前列表6"/>
    <w:uiPriority w:val="99"/>
    <w:rsid w:val="00C07DA3"/>
  </w:style>
  <w:style w:type="numbering" w:customStyle="1" w:styleId="7">
    <w:name w:val="当前列表7"/>
    <w:uiPriority w:val="99"/>
    <w:rsid w:val="00C07DA3"/>
  </w:style>
  <w:style w:type="numbering" w:customStyle="1" w:styleId="8">
    <w:name w:val="当前列表8"/>
    <w:uiPriority w:val="99"/>
    <w:rsid w:val="00933C9B"/>
  </w:style>
  <w:style w:type="numbering" w:customStyle="1" w:styleId="9">
    <w:name w:val="当前列表9"/>
    <w:uiPriority w:val="99"/>
    <w:rsid w:val="00933C9B"/>
  </w:style>
  <w:style w:type="numbering" w:customStyle="1" w:styleId="10">
    <w:name w:val="当前列表10"/>
    <w:uiPriority w:val="99"/>
    <w:rsid w:val="00933C9B"/>
  </w:style>
  <w:style w:type="numbering" w:customStyle="1" w:styleId="11">
    <w:name w:val="当前列表11"/>
    <w:uiPriority w:val="99"/>
    <w:rsid w:val="00933C9B"/>
  </w:style>
  <w:style w:type="numbering" w:customStyle="1" w:styleId="12">
    <w:name w:val="当前列表12"/>
    <w:uiPriority w:val="99"/>
    <w:rsid w:val="00933C9B"/>
  </w:style>
  <w:style w:type="numbering" w:customStyle="1" w:styleId="13">
    <w:name w:val="当前列表13"/>
    <w:uiPriority w:val="99"/>
    <w:rsid w:val="00774E72"/>
  </w:style>
  <w:style w:type="numbering" w:customStyle="1" w:styleId="14">
    <w:name w:val="当前列表14"/>
    <w:uiPriority w:val="99"/>
    <w:rsid w:val="00774E72"/>
  </w:style>
  <w:style w:type="numbering" w:customStyle="1" w:styleId="15">
    <w:name w:val="当前列表15"/>
    <w:uiPriority w:val="99"/>
    <w:rsid w:val="00774E72"/>
  </w:style>
  <w:style w:type="numbering" w:customStyle="1" w:styleId="16">
    <w:name w:val="当前列表16"/>
    <w:uiPriority w:val="99"/>
    <w:rsid w:val="00774E72"/>
  </w:style>
  <w:style w:type="numbering" w:customStyle="1" w:styleId="17">
    <w:name w:val="当前列表17"/>
    <w:uiPriority w:val="99"/>
    <w:rsid w:val="00774E72"/>
  </w:style>
  <w:style w:type="numbering" w:customStyle="1" w:styleId="18">
    <w:name w:val="当前列表18"/>
    <w:uiPriority w:val="99"/>
    <w:rsid w:val="00774E72"/>
  </w:style>
  <w:style w:type="numbering" w:customStyle="1" w:styleId="19">
    <w:name w:val="当前列表19"/>
    <w:uiPriority w:val="99"/>
    <w:rsid w:val="00774E72"/>
  </w:style>
  <w:style w:type="numbering" w:customStyle="1" w:styleId="20">
    <w:name w:val="当前列表20"/>
    <w:uiPriority w:val="99"/>
    <w:rsid w:val="00865510"/>
    <w:pPr>
      <w:numPr>
        <w:numId w:val="44"/>
      </w:numPr>
    </w:pPr>
  </w:style>
</w:style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numbering.xml" Type="http://schemas.openxmlformats.org/officeDocument/2006/relationships/numbering"/><Relationship Id="rId3" Target="styles.xml" Type="http://schemas.openxmlformats.org/officeDocument/2006/relationships/style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2026-08-16T14:44:49Z</dcterms:created>
  <dc:creator>Apache POI</dc:creator>
</cp:coreProperties>
</file>