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<Relationships xmlns="http://schemas.openxmlformats.org/package/2006/relationships"><Relationship Id="rId1" Target="word/document.xml" Type="http://schemas.openxmlformats.org/officeDocument/2006/relationships/officeDocument"/><Relationship Id="rId2" Target="docProps/app.xml" Type="http://schemas.openxmlformats.org/officeDocument/2006/relationships/extended-properties"/><Relationship Id="rId3" Target="docProps/core.xml" Type="http://schemas.openxmlformats.org/package/2006/relationships/metadata/core-properties"/></Relationships>
</file>

<file path=word/document.xml><?xml version="1.0" encoding="utf-8"?>
<w:document xmlns:w="http://schemas.openxmlformats.org/wordprocessingml/2006/main">
  <w:body>
    <w:p>
      <w:pPr>
        <w:pStyle w:val="ac"/>
      </w:pPr>
      <w:r>
        <w:t>开源化工 - 金选路演第36期：PTA行业近况更新 260816_导读</w:t>
      </w:r>
    </w:p>
    <w:p>
      <w:pPr>
        <w:pStyle w:val="a0"/>
        <w:jc w:val="center"/>
      </w:pPr>
      <w:r>
        <w:t>2026年08月16日 22:38</w:t>
      </w:r>
    </w:p>
    <w:p>
      <w:pPr>
        <w:pStyle w:val="a7"/>
      </w:pPr>
      <w:r>
        <w:t>关键词</w:t>
      </w:r>
    </w:p>
    <w:p>
      <w:r>
        <w:rPr>
          <w:rFonts w:ascii="等线(中文正文)" w:hAnsi="等线(中文正文)" w:cs="等线(中文正文)" w:eastAsia="等线(中文正文)"/>
          <w:b w:val="false"/>
          <w:i w:val="false"/>
          <w:sz w:val="20"/>
        </w:rPr>
        <w:t xml:space="preserve">PTA 供需 新增产能 聚酯纤维 原油 PX 价差 开工率 协同 加工成本 聚酯瓶片 薄膜 盈利 产能增速 需求 出口 内需 双碳 技术迭代 醋酸 </w:t>
      </w:r>
    </w:p>
    <w:p>
      <w:r>
        <w:rPr>
          <w:rFonts w:ascii="等线(中文正文)" w:hAnsi="等线(中文正文)" w:cs="等线(中文正文)" w:eastAsia="等线(中文正文)"/>
          <w:b w:val="false"/>
          <w:i w:val="false"/>
          <w:sz w:val="20"/>
        </w:rPr>
        <w:t/>
      </w:r>
    </w:p>
    <w:p>
      <w:pPr>
        <w:pStyle w:val="a7"/>
      </w:pPr>
      <w:r>
        <w:t>全文摘要</w:t>
      </w:r>
    </w:p>
    <w:p>
      <w:r>
        <w:rPr>
          <w:rFonts w:ascii="等线(中文正文)" w:hAnsi="等线(中文正文)" w:cs="等线(中文正文)" w:eastAsia="等线(中文正文)"/>
          <w:b w:val="false"/>
          <w:i w:val="false"/>
          <w:sz w:val="20"/>
        </w:rPr>
        <w:t>PTA行业近年来因新增产能放缓，面临供需紧张局面，尽管需求持续以年均5%-6%的速度增长，盈利状况仍待改善。蒋跨越研究员指出，自三月以来，行业开工率下降及上游原材料PX短缺，加剧了价差波动。PTA产业链构成、成本与油价紧密相关，未来四年产能增长预测显示，随着新增产能缩减，行业供需将趋好，盈利中枢有望上移。近期，行业协同情况及价格变动受多种因素影响，展望未来，蒋跨越对PTA行业趋势持乐观态度。</w:t>
      </w:r>
    </w:p>
    <w:p>
      <w:r>
        <w:rPr>
          <w:rFonts w:ascii="等线(中文正文)" w:hAnsi="等线(中文正文)" w:cs="等线(中文正文)" w:eastAsia="等线(中文正文)"/>
          <w:b w:val="false"/>
          <w:i w:val="false"/>
          <w:sz w:val="20"/>
        </w:rPr>
        <w:t/>
      </w:r>
    </w:p>
    <w:p>
      <w:pPr>
        <w:pStyle w:val="a7"/>
      </w:pPr>
      <w:r>
        <w:t>章节速览</w:t>
      </w:r>
    </w:p>
    <w:p>
      <w:pPr>
        <w:pStyle w:val="ab"/>
        <w:numPr>
          <w:numId w:val="1"/>
        </w:numPr>
      </w:pPr>
      <w:r>
        <w:t>00:00 PTA行业供需与价差波动分析</w:t>
      </w:r>
    </w:p>
    <w:p>
      <w:r>
        <w:rPr>
          <w:rFonts w:ascii="等线(中文正文)" w:hAnsi="等线(中文正文)" w:cs="等线(中文正文)" w:eastAsia="等线(中文正文)"/>
          <w:b w:val="false"/>
          <w:i w:val="false"/>
          <w:sz w:val="20"/>
        </w:rPr>
        <w:t>报告更新了PTA行业的供需情况及近期价差波动。行业无新增产能，需求年增5-6%，预期盈利修复。近况显示，三月后开工率下降，六至七月中旬价差走强，七月下旬至今波动大。PTA产业链紧密关联原油，主要原料为PX和醋酸，下游产品涵盖聚酯瓶片、纤维和薄膜，成本与油价高度相关。</w:t>
      </w:r>
    </w:p>
    <w:p>
      <w:r>
        <w:rPr>
          <w:rFonts w:ascii="等线(中文正文)" w:hAnsi="等线(中文正文)" w:cs="等线(中文正文)" w:eastAsia="等线(中文正文)"/>
          <w:b w:val="false"/>
          <w:i w:val="false"/>
          <w:sz w:val="20"/>
        </w:rPr>
        <w:t/>
      </w:r>
    </w:p>
    <w:p>
      <w:pPr>
        <w:pStyle w:val="ab"/>
        <w:numPr>
          <w:numId w:val="2"/>
        </w:numPr>
      </w:pPr>
      <w:r>
        <w:t>02:18 PTA行业供需分析：产能扩张与未来展望</w:t>
      </w:r>
    </w:p>
    <w:p>
      <w:r>
        <w:rPr>
          <w:rFonts w:ascii="等线(中文正文)" w:hAnsi="等线(中文正文)" w:cs="等线(中文正文)" w:eastAsia="等线(中文正文)"/>
          <w:b w:val="false"/>
          <w:i w:val="false"/>
          <w:sz w:val="20"/>
        </w:rPr>
        <w:t>对话详细分析了PTA行业从2019年至2025年的新增产能情况，指出21-22年为行业景气高点后，行业扩产迅速，导致23年起多数企业陷入亏损状态。2026年起新增产能显著减少，仅中石油计划于2027年底投产200万吨，实际新增产能有限。28-29年虽有改造项目和规划产能，但实际投产能时间延后，行业未来供需趋于平衡。</w:t>
      </w:r>
    </w:p>
    <w:p>
      <w:r>
        <w:rPr>
          <w:rFonts w:ascii="等线(中文正文)" w:hAnsi="等线(中文正文)" w:cs="等线(中文正文)" w:eastAsia="等线(中文正文)"/>
          <w:b w:val="false"/>
          <w:i w:val="false"/>
          <w:sz w:val="20"/>
        </w:rPr>
        <w:t/>
      </w:r>
    </w:p>
    <w:p>
      <w:pPr>
        <w:pStyle w:val="ab"/>
        <w:numPr>
          <w:numId w:val="3"/>
        </w:numPr>
      </w:pPr>
      <w:r>
        <w:t>06:08 PC行业投资减少原因分析</w:t>
      </w:r>
    </w:p>
    <w:p>
      <w:r>
        <w:rPr>
          <w:rFonts w:ascii="等线(中文正文)" w:hAnsi="等线(中文正文)" w:cs="等线(中文正文)" w:eastAsia="等线(中文正文)"/>
          <w:b w:val="false"/>
          <w:i w:val="false"/>
          <w:sz w:val="20"/>
        </w:rPr>
        <w:t>对话分析了PC行业投资减少的原因，包括经济效益低下，如PDA长期亏损及低回报率；高能耗产品在双碳背景下面临严格指标限制；以及上下游产业链配套已完成，无进一步扩张必要。这些因素共同导致行业产能增速有限，投资者兴趣下降。</w:t>
      </w:r>
    </w:p>
    <w:p>
      <w:r>
        <w:rPr>
          <w:rFonts w:ascii="等线(中文正文)" w:hAnsi="等线(中文正文)" w:cs="等线(中文正文)" w:eastAsia="等线(中文正文)"/>
          <w:b w:val="false"/>
          <w:i w:val="false"/>
          <w:sz w:val="20"/>
        </w:rPr>
        <w:t/>
      </w:r>
    </w:p>
    <w:p>
      <w:pPr>
        <w:pStyle w:val="ab"/>
        <w:numPr>
          <w:numId w:val="4"/>
        </w:numPr>
      </w:pPr>
      <w:r>
        <w:t>08:40 PTA行业供需格局与盈利中枢分析</w:t>
      </w:r>
    </w:p>
    <w:p>
      <w:r>
        <w:rPr>
          <w:rFonts w:ascii="等线(中文正文)" w:hAnsi="等线(中文正文)" w:cs="等线(中文正文)" w:eastAsia="等线(中文正文)"/>
          <w:b w:val="false"/>
          <w:i w:val="false"/>
          <w:sz w:val="20"/>
        </w:rPr>
        <w:t>PTA行业过去十年技术迭代快，成本下降，但后发优势减弱，新增产能有限。需求端，内需与出口稳定增长，供需格局改善，预计未来盈利中枢抬升。</w:t>
      </w:r>
    </w:p>
    <w:p>
      <w:r>
        <w:rPr>
          <w:rFonts w:ascii="等线(中文正文)" w:hAnsi="等线(中文正文)" w:cs="等线(中文正文)" w:eastAsia="等线(中文正文)"/>
          <w:b w:val="false"/>
          <w:i w:val="false"/>
          <w:sz w:val="20"/>
        </w:rPr>
        <w:t/>
      </w:r>
    </w:p>
    <w:p>
      <w:pPr>
        <w:pStyle w:val="ab"/>
        <w:numPr>
          <w:numId w:val="5"/>
        </w:numPr>
      </w:pPr>
      <w:r>
        <w:t>11:55 PTA行业协同与盈利平衡分析</w:t>
      </w:r>
    </w:p>
    <w:p>
      <w:r>
        <w:rPr>
          <w:rFonts w:ascii="等线(中文正文)" w:hAnsi="等线(中文正文)" w:cs="等线(中文正文)" w:eastAsia="等线(中文正文)"/>
          <w:b w:val="false"/>
          <w:i w:val="false"/>
          <w:sz w:val="20"/>
        </w:rPr>
        <w:t>对话回顾了过去十年PTA价差变化，指出60%分位数价差可实现行业盈亏平衡。强调PTA行业具备坚实协同基础，包括新增产能有限、行业集中度高及龙头企业的定价权。分析了2025年九月至2026年三月期间的协同过程，最终达成共识，提升了行业整体盈利能力。</w:t>
      </w:r>
    </w:p>
    <w:p>
      <w:r>
        <w:rPr>
          <w:rFonts w:ascii="等线(中文正文)" w:hAnsi="等线(中文正文)" w:cs="等线(中文正文)" w:eastAsia="等线(中文正文)"/>
          <w:b w:val="false"/>
          <w:i w:val="false"/>
          <w:sz w:val="20"/>
        </w:rPr>
        <w:t/>
      </w:r>
    </w:p>
    <w:p>
      <w:pPr>
        <w:pStyle w:val="ab"/>
        <w:numPr>
          <w:numId w:val="6"/>
        </w:numPr>
      </w:pPr>
      <w:r>
        <w:t>15:42 化工行业开工率下降及影响因素分析</w:t>
      </w:r>
    </w:p>
    <w:p>
      <w:r>
        <w:rPr>
          <w:rFonts w:ascii="等线(中文正文)" w:hAnsi="等线(中文正文)" w:cs="等线(中文正文)" w:eastAsia="等线(中文正文)"/>
          <w:b w:val="false"/>
          <w:i w:val="false"/>
          <w:sz w:val="20"/>
        </w:rPr>
        <w:t>头部企业自律减产及小企业因成本和原料供应问题关停装置，导致行业开工率从80%降至60%出头，近期受装置检修、台风影响进一步降至50%以下，预计八月中下旬可能回升至65%-70%，但难以恢复至先前七八成水平。</w:t>
      </w:r>
    </w:p>
    <w:p>
      <w:r>
        <w:rPr>
          <w:rFonts w:ascii="等线(中文正文)" w:hAnsi="等线(中文正文)" w:cs="等线(中文正文)" w:eastAsia="等线(中文正文)"/>
          <w:b w:val="false"/>
          <w:i w:val="false"/>
          <w:sz w:val="20"/>
        </w:rPr>
        <w:t/>
      </w:r>
    </w:p>
    <w:p>
      <w:pPr>
        <w:pStyle w:val="ab"/>
        <w:numPr>
          <w:numId w:val="7"/>
        </w:numPr>
      </w:pPr>
      <w:r>
        <w:t>18:20 PTA行业价差波动及未来展望</w:t>
      </w:r>
    </w:p>
    <w:p>
      <w:r>
        <w:rPr>
          <w:rFonts w:ascii="等线(中文正文)" w:hAnsi="等线(中文正文)" w:cs="等线(中文正文)" w:eastAsia="等线(中文正文)"/>
          <w:b w:val="false"/>
          <w:i w:val="false"/>
          <w:sz w:val="20"/>
        </w:rPr>
        <w:t>过去一年PTA行业价差受供需关系、成本变化及油价波动影响显著。6-11月价差低至100元以下，12月至2月因装置停产价差修复，3-4月因战争影响价差再次下滑。5-7月通过行业自律和高成本产能停产，价差恢复至600-700元。8月后油价反弹导致价差回落，当前价差维持在300-400元。预计油价稳定或回落时，PTA价差将回升，行业普遍亏损局面有望改善。</w:t>
      </w:r>
    </w:p>
    <w:p>
      <w:r>
        <w:rPr>
          <w:rFonts w:ascii="等线(中文正文)" w:hAnsi="等线(中文正文)" w:cs="等线(中文正文)" w:eastAsia="等线(中文正文)"/>
          <w:b w:val="false"/>
          <w:i w:val="false"/>
          <w:sz w:val="20"/>
        </w:rPr>
        <w:t/>
      </w:r>
    </w:p>
    <w:p>
      <w:pPr>
        <w:pStyle w:val="a7"/>
      </w:pPr>
      <w:r>
        <w:t>发言总结</w:t>
      </w:r>
    </w:p>
    <w:p>
      <w:pPr>
        <w:pStyle w:val="ab"/>
        <w:numPr>
          <w:numId w:val="8"/>
        </w:numPr>
      </w:pPr>
      <w:r>
        <w:t>发言人1</w:t>
      </w:r>
    </w:p>
    <w:p>
      <w:r>
        <w:rPr>
          <w:rFonts w:ascii="等线(中文正文)" w:hAnsi="等线(中文正文)" w:cs="等线(中文正文)" w:eastAsia="等线(中文正文)"/>
          <w:b w:val="false"/>
          <w:i w:val="false"/>
          <w:sz w:val="20"/>
        </w:rPr>
        <w:t>他，即开元化工研究员蒋跨越，对PTA行业进行了深入分析，指出行业供需改善，得益于新增产能有限，而下游需求稳定增长。他强调，行业高集中度和龙头企业协同效应增强了整体盈利水平。然而，2023年3月以来，因反内卷协同和PX短缺，PTA行业开工率下降，尽管六七月份价差表现强劲，但七月下旬波动加大。蒋跨越还提到，PTA成本与油价紧密相关。展望未来，随着新增产能减少，预计PTA供需将改善，盈利中枢有望上移。</w:t>
      </w:r>
    </w:p>
    <w:p>
      <w:r>
        <w:rPr>
          <w:rFonts w:ascii="等线(中文正文)" w:hAnsi="等线(中文正文)" w:cs="等线(中文正文)" w:eastAsia="等线(中文正文)"/>
          <w:b w:val="false"/>
          <w:i w:val="false"/>
          <w:sz w:val="20"/>
        </w:rPr>
        <w:t/>
      </w:r>
    </w:p>
    <w:p>
      <w:pPr>
        <w:pStyle w:val="a7"/>
      </w:pPr>
      <w:r>
        <w:t>要点回顾</w:t>
      </w:r>
    </w:p>
    <w:p>
      <w:pPr>
        <w:pStyle w:val="ab"/>
      </w:pPr>
      <w:r>
        <w:t>PTA行业当前供需情况如何？PTA行业的产能变化情况如何？</w:t>
      </w:r>
    </w:p>
    <w:p>
      <w:r>
        <w:rPr>
          <w:rFonts w:ascii="等线(中文正文)" w:hAnsi="等线(中文正文)" w:cs="等线(中文正文)" w:eastAsia="等线(中文正文)"/>
          <w:b w:val="false"/>
          <w:i w:val="false"/>
          <w:sz w:val="20"/>
        </w:rPr>
        <w:t>发言人1：PTA行业目前整体供需呈现紧缩状态，由于新增产能微乎其微，而需求每年仍有5-6%的增长，因此市场普遍预期盈利会逐渐修复。但从三月份至今，尤其是八月份以来，受行业反内卷协同和上游原材料PX短缺的影响，PTA行业的开工率大幅下降，价差波动也较大。PTA行业的景气高点在21年到22年，之后经历了快速扩产，每年新增产能高达800万至1000万吨。不过从25年之后，新增产能大幅减少，2026年没有新增产能计划，且2027年仅有中石油乌鲁木齐规划的200万吨产能，但该装置可能因当地PX供应不足而难以实施，实际新增产能可能只有80万吨。往后看，2028年和2029年也仅有个别项目在规划阶段，预计合计新增产能有限。</w:t>
      </w:r>
    </w:p>
    <w:p>
      <w:r>
        <w:rPr>
          <w:rFonts w:ascii="等线(中文正文)" w:hAnsi="等线(中文正文)" w:cs="等线(中文正文)" w:eastAsia="等线(中文正文)"/>
          <w:b w:val="false"/>
          <w:i w:val="false"/>
          <w:sz w:val="20"/>
        </w:rPr>
        <w:t/>
      </w:r>
    </w:p>
    <w:p>
      <w:pPr>
        <w:pStyle w:val="ab"/>
      </w:pPr>
      <w:r>
        <w:t>为什么PTA行业现在投资放缓？</w:t>
      </w:r>
    </w:p>
    <w:p>
      <w:r>
        <w:rPr>
          <w:rFonts w:ascii="等线(中文正文)" w:hAnsi="等线(中文正文)" w:cs="等线(中文正文)" w:eastAsia="等线(中文正文)"/>
          <w:b w:val="false"/>
          <w:i w:val="false"/>
          <w:sz w:val="20"/>
        </w:rPr>
        <w:t>发言人1：PTA行业投资放缓的原因主要有两点：一是经济效益不佳，自2023年第一季度以来，PTA行业亏损严重，即使近期有所好转，但投资成本回收周期长，投资回报率低；二是环保指标获取难度加大，在双碳背景下，大型石化项目的能耗指标审批变得更为严格，限制了新项目的开展。</w:t>
      </w:r>
    </w:p>
    <w:p>
      <w:r>
        <w:rPr>
          <w:rFonts w:ascii="等线(中文正文)" w:hAnsi="等线(中文正文)" w:cs="等线(中文正文)" w:eastAsia="等线(中文正文)"/>
          <w:b w:val="false"/>
          <w:i w:val="false"/>
          <w:sz w:val="20"/>
        </w:rPr>
        <w:t/>
      </w:r>
    </w:p>
    <w:p>
      <w:pPr>
        <w:pStyle w:val="ab"/>
      </w:pPr>
      <w:r>
        <w:t>PTA产业链的基本情况是怎样的？</w:t>
      </w:r>
    </w:p>
    <w:p>
      <w:r>
        <w:rPr>
          <w:rFonts w:ascii="等线(中文正文)" w:hAnsi="等线(中文正文)" w:cs="等线(中文正文)" w:eastAsia="等线(中文正文)"/>
          <w:b w:val="false"/>
          <w:i w:val="false"/>
          <w:sz w:val="20"/>
        </w:rPr>
        <w:t>发言人1：PTA是原油炼化过程中的中间产物，主要由PX和醋酸制成，下游产品主要包括聚酯瓶片、聚酯纤维（包括长丝和短纤）以及聚酯薄膜等各类聚酯产品。其成本和价格与油价高度相关。</w:t>
      </w:r>
    </w:p>
    <w:p>
      <w:r>
        <w:rPr>
          <w:rFonts w:ascii="等线(中文正文)" w:hAnsi="等线(中文正文)" w:cs="等线(中文正文)" w:eastAsia="等线(中文正文)"/>
          <w:b w:val="false"/>
          <w:i w:val="false"/>
          <w:sz w:val="20"/>
        </w:rPr>
        <w:t/>
      </w:r>
    </w:p>
    <w:p>
      <w:pPr>
        <w:pStyle w:val="ab"/>
      </w:pPr>
      <w:r>
        <w:t>PTA产业上下游配套情况是怎样的？</w:t>
      </w:r>
    </w:p>
    <w:p>
      <w:r>
        <w:rPr>
          <w:rFonts w:ascii="等线(中文正文)" w:hAnsi="等线(中文正文)" w:cs="等线(中文正文)" w:eastAsia="等线(中文正文)"/>
          <w:b w:val="false"/>
          <w:i w:val="false"/>
          <w:sz w:val="20"/>
        </w:rPr>
        <w:t>发言人1：PTA产业中，企业通常会考虑上下游配套以保证原料自给自足或拥有产业链优势。例如，下游企业可能会向上游投资PTA项目，实现原料自给；而上游拥有PX的企业也可能向下游扩展，形成产业链配套。目前，大部分关键配套已经完成，进一步大规模扩大的必要性不大。</w:t>
      </w:r>
    </w:p>
    <w:p>
      <w:r>
        <w:rPr>
          <w:rFonts w:ascii="等线(中文正文)" w:hAnsi="等线(中文正文)" w:cs="等线(中文正文)" w:eastAsia="等线(中文正文)"/>
          <w:b w:val="false"/>
          <w:i w:val="false"/>
          <w:sz w:val="20"/>
        </w:rPr>
        <w:t/>
      </w:r>
    </w:p>
    <w:p>
      <w:pPr>
        <w:pStyle w:val="ab"/>
      </w:pPr>
      <w:r>
        <w:t>PTA技术迭代对行业有何影响？</w:t>
      </w:r>
    </w:p>
    <w:p>
      <w:r>
        <w:rPr>
          <w:rFonts w:ascii="等线(中文正文)" w:hAnsi="等线(中文正文)" w:cs="等线(中文正文)" w:eastAsia="等线(中文正文)"/>
          <w:b w:val="false"/>
          <w:i w:val="false"/>
          <w:sz w:val="20"/>
        </w:rPr>
        <w:t>发言人1：PTA技术迭代较快，过去十年中装置不断升级，新装置的加工成本持续下降，具有后发优势。但现在PD装置已达到较高技术水平，最低加工成本在330元左右，难以再通过投资更先进的装置来获取成本优势，因此大规模新增产能的必要性不大。</w:t>
      </w:r>
    </w:p>
    <w:p>
      <w:r>
        <w:rPr>
          <w:rFonts w:ascii="等线(中文正文)" w:hAnsi="等线(中文正文)" w:cs="等线(中文正文)" w:eastAsia="等线(中文正文)"/>
          <w:b w:val="false"/>
          <w:i w:val="false"/>
          <w:sz w:val="20"/>
        </w:rPr>
        <w:t/>
      </w:r>
    </w:p>
    <w:p>
      <w:pPr>
        <w:pStyle w:val="ab"/>
      </w:pPr>
      <w:r>
        <w:t>PTA行业未来几年的产能增速和供需格局如何？</w:t>
      </w:r>
    </w:p>
    <w:p>
      <w:r>
        <w:rPr>
          <w:rFonts w:ascii="等线(中文正文)" w:hAnsi="等线(中文正文)" w:cs="等线(中文正文)" w:eastAsia="等线(中文正文)"/>
          <w:b w:val="false"/>
          <w:i w:val="false"/>
          <w:sz w:val="20"/>
        </w:rPr>
        <w:t>发言人1：预计未来三四年PTA行业新增产能微乎其微，而内需每年保持约五六个点的增长速度，同时出口也相对稳定。由于新增产能有限且需求持续增长，整个供需格局正在改善，看好PTA行业的盈利中枢抬升。</w:t>
      </w:r>
    </w:p>
    <w:p>
      <w:r>
        <w:rPr>
          <w:rFonts w:ascii="等线(中文正文)" w:hAnsi="等线(中文正文)" w:cs="等线(中文正文)" w:eastAsia="等线(中文正文)"/>
          <w:b w:val="false"/>
          <w:i w:val="false"/>
          <w:sz w:val="20"/>
        </w:rPr>
        <w:t/>
      </w:r>
    </w:p>
    <w:p>
      <w:pPr>
        <w:pStyle w:val="ab"/>
      </w:pPr>
      <w:r>
        <w:t>PTA行业的价差情况和盈亏平衡点是多少？</w:t>
      </w:r>
    </w:p>
    <w:p>
      <w:r>
        <w:rPr>
          <w:rFonts w:ascii="等线(中文正文)" w:hAnsi="等线(中文正文)" w:cs="等线(中文正文)" w:eastAsia="等线(中文正文)"/>
          <w:b w:val="false"/>
          <w:i w:val="false"/>
          <w:sz w:val="20"/>
        </w:rPr>
        <w:t>发言人1：过去十年中，PTA行业在不同分位数的价差表现不一，但目前新装置的加工成本大约在330元左右，要达到行业内平均盈亏平衡水平（约350-400元加工成本），价差需达到300-370元左右。尽管单吨盈利不高，但由于行业规模庞大，盈利空间可观。</w:t>
      </w:r>
    </w:p>
    <w:p>
      <w:r>
        <w:rPr>
          <w:rFonts w:ascii="等线(中文正文)" w:hAnsi="等线(中文正文)" w:cs="等线(中文正文)" w:eastAsia="等线(中文正文)"/>
          <w:b w:val="false"/>
          <w:i w:val="false"/>
          <w:sz w:val="20"/>
        </w:rPr>
        <w:t/>
      </w:r>
    </w:p>
    <w:p>
      <w:pPr>
        <w:pStyle w:val="ab"/>
      </w:pPr>
      <w:r>
        <w:t>PTA行业的协同基础和复合开工率盈利情况如何？</w:t>
      </w:r>
    </w:p>
    <w:p>
      <w:r>
        <w:rPr>
          <w:rFonts w:ascii="等线(中文正文)" w:hAnsi="等线(中文正文)" w:cs="等线(中文正文)" w:eastAsia="等线(中文正文)"/>
          <w:b w:val="false"/>
          <w:i w:val="false"/>
          <w:sz w:val="20"/>
        </w:rPr>
        <w:t>发言人1：PTA行业有坚实协同基础，主要体现在新增产能较少、行业集中度高以及企业深度亏损时对协同的强烈诉求。目前行业CR7产能集中度高达76%，龙头企业定价权较强。最近一轮协同起源于2025年9月份，经过多轮谈判最终在2026年3月份落地，协同实施后，尽管上下游配套差异导致利益诉求不同，但在深度亏损背景下，协同对于改善盈利状况起到了积极作用。</w:t>
      </w:r>
    </w:p>
    <w:p>
      <w:r>
        <w:rPr>
          <w:rFonts w:ascii="等线(中文正文)" w:hAnsi="等线(中文正文)" w:cs="等线(中文正文)" w:eastAsia="等线(中文正文)"/>
          <w:b w:val="false"/>
          <w:i w:val="false"/>
          <w:sz w:val="20"/>
        </w:rPr>
        <w:t/>
      </w:r>
    </w:p>
    <w:p>
      <w:pPr>
        <w:pStyle w:val="ab"/>
      </w:pPr>
      <w:r>
        <w:t>行业复合降了20%左右，具体有哪些原因导致的？</w:t>
      </w:r>
    </w:p>
    <w:p>
      <w:r>
        <w:rPr>
          <w:rFonts w:ascii="等线(中文正文)" w:hAnsi="等线(中文正文)" w:cs="等线(中文正文)" w:eastAsia="等线(中文正文)"/>
          <w:b w:val="false"/>
          <w:i w:val="false"/>
          <w:sz w:val="20"/>
        </w:rPr>
        <w:t>发言人1：整个行业的复合下降主要有两方面原因。首先，龙头企业按照20%的最低减产比例进行行业自律，这大约涉及了10到15个百分点的开工率下降。其次，部分小企业由于高成本小装置自发关停，这部分也带来了5到10个百分点的开工率下降。此外，加工成本过高和原料PX供应稳定性问题导致一些装置在三月份和四月份出现亏损，进而减少了开工率。</w:t>
      </w:r>
    </w:p>
    <w:p>
      <w:r>
        <w:rPr>
          <w:rFonts w:ascii="等线(中文正文)" w:hAnsi="等线(中文正文)" w:cs="等线(中文正文)" w:eastAsia="等线(中文正文)"/>
          <w:b w:val="false"/>
          <w:i w:val="false"/>
          <w:sz w:val="20"/>
        </w:rPr>
        <w:t/>
      </w:r>
    </w:p>
    <w:p>
      <w:pPr>
        <w:pStyle w:val="ab"/>
      </w:pPr>
      <w:r>
        <w:t>近期行业开工率进一步下降的原因是什么？目前行业开工率预计会如何变化？</w:t>
      </w:r>
    </w:p>
    <w:p>
      <w:r>
        <w:rPr>
          <w:rFonts w:ascii="等线(中文正文)" w:hAnsi="等线(中文正文)" w:cs="等线(中文正文)" w:eastAsia="等线(中文正文)"/>
          <w:b w:val="false"/>
          <w:i w:val="false"/>
          <w:sz w:val="20"/>
        </w:rPr>
        <w:t>发言人1：最近一周，行业开工率进一步下降至50%以下，这一情况主要是由于短期因素影响，如顺红等装置进行年度检修，加上台风导致码头PS进料出现问题，使得部分装置不得不减负或降产，从而拉低了整个行业的开工率。预计到了八月中下旬，随着检修装置恢复生产，行业开工率可能会有所回升，但很难回到之前七八成的开工率水平，可能回到70%左右，接近于4、5月份和5、6月份的开工率。</w:t>
      </w:r>
    </w:p>
    <w:p>
      <w:r>
        <w:rPr>
          <w:rFonts w:ascii="等线(中文正文)" w:hAnsi="等线(中文正文)" w:cs="等线(中文正文)" w:eastAsia="等线(中文正文)"/>
          <w:b w:val="false"/>
          <w:i w:val="false"/>
          <w:sz w:val="20"/>
        </w:rPr>
        <w:t/>
      </w:r>
    </w:p>
    <w:p>
      <w:pPr>
        <w:pStyle w:val="ab"/>
      </w:pPr>
      <w:r>
        <w:t>最近PTA价格差的情况如何？</w:t>
      </w:r>
    </w:p>
    <w:p>
      <w:r>
        <w:rPr>
          <w:rFonts w:ascii="等线(中文正文)" w:hAnsi="等线(中文正文)" w:cs="等线(中文正文)" w:eastAsia="等线(中文正文)"/>
          <w:b w:val="false"/>
          <w:i w:val="false"/>
          <w:sz w:val="20"/>
        </w:rPr>
        <w:t>发言人1：过去一年PTA价格差在6到11月份期间基本维持在200元左右，最低时甚至不到100元。随后在12月至2月间，因装置停产、开工率下降，价差有所修复至盈亏平衡线附近。到了3月至4月份，由于战争导致PX价格上涨以及聚酯纤维减产，价差再次恶化。五月至七月，随着龙头企业减产和高成本小产能停产，加工费一度保持在六七百块钱的良好水平。然而，随着油价反弹，PTA价差在七月下旬至8月份出现回落，目前基本在三四百块钱之间波动。若油价稳定或回落，预计PTA价差会有所恢复，不太可能出现全行业普遍亏损的情况。</w:t>
      </w:r>
    </w:p>
    <w:p>
      <w:r>
        <w:rPr>
          <w:rFonts w:ascii="等线(中文正文)" w:hAnsi="等线(中文正文)" w:cs="等线(中文正文)" w:eastAsia="等线(中文正文)"/>
          <w:b w:val="false"/>
          <w:i w:val="false"/>
          <w:sz w:val="20"/>
        </w:rPr>
        <w:t/>
      </w:r>
    </w:p>
  </w:body>
</w:document>
</file>

<file path=word/numbering.xml><?xml version="1.0" encoding="utf-8"?>
<w:numbering xmlns:w="http://schemas.openxmlformats.org/wordprocessingml/2006/main">
  <w:abstractNum w:abstractNumId="0">
    <w:lvl w:ilvl="0">
      <w:start w:val="1"/>
      <w:numFmt w:val="bullet"/>
      <w:lvlText w:val="l"/>
      <w:lvlJc w:val="left"/>
      <w:pPr>
        <w:ind w:left="360" w:hanging="360"/>
      </w:pPr>
      <w:rPr>
        <w:rFonts w:ascii="Wingdings" w:hAnsi="Wingdings" w:hint="default"/>
      </w:rPr>
    </w:lvl>
  </w:abstractNum>
  <w:abstractNum w:abstractNumId="0">
    <w:lvl w:ilvl="0">
      <w:start w:val="1"/>
      <w:numFmt w:val="bullet"/>
      <w:lvlText w:val="l"/>
      <w:lvlJc w:val="left"/>
      <w:pPr>
        <w:ind w:left="360" w:hanging="360"/>
      </w:pPr>
      <w:rPr>
        <w:rFonts w:ascii="Wingdings" w:hAnsi="Wingdings" w:hint="default"/>
      </w:rPr>
    </w:lvl>
  </w:abstractNum>
  <w:abstractNum w:abstractNumId="0">
    <w:lvl w:ilvl="0">
      <w:start w:val="1"/>
      <w:numFmt w:val="bullet"/>
      <w:lvlText w:val="l"/>
      <w:lvlJc w:val="left"/>
      <w:pPr>
        <w:ind w:left="360" w:hanging="360"/>
      </w:pPr>
      <w:rPr>
        <w:rFonts w:ascii="Wingdings" w:hAnsi="Wingdings" w:hint="default"/>
      </w:rPr>
    </w:lvl>
  </w:abstractNum>
  <w:abstractNum w:abstractNumId="0">
    <w:lvl w:ilvl="0">
      <w:start w:val="1"/>
      <w:numFmt w:val="bullet"/>
      <w:lvlText w:val="l"/>
      <w:lvlJc w:val="left"/>
      <w:pPr>
        <w:ind w:left="360" w:hanging="360"/>
      </w:pPr>
      <w:rPr>
        <w:rFonts w:ascii="Wingdings" w:hAnsi="Wingdings" w:hint="default"/>
      </w:rPr>
    </w:lvl>
  </w:abstractNum>
  <w:abstractNum w:abstractNumId="0">
    <w:lvl w:ilvl="0">
      <w:start w:val="1"/>
      <w:numFmt w:val="bullet"/>
      <w:lvlText w:val="l"/>
      <w:lvlJc w:val="left"/>
      <w:pPr>
        <w:ind w:left="360" w:hanging="360"/>
      </w:pPr>
      <w:rPr>
        <w:rFonts w:ascii="Wingdings" w:hAnsi="Wingdings" w:hint="default"/>
      </w:rPr>
    </w:lvl>
  </w:abstractNum>
  <w:abstractNum w:abstractNumId="0">
    <w:lvl w:ilvl="0">
      <w:start w:val="1"/>
      <w:numFmt w:val="bullet"/>
      <w:lvlText w:val="l"/>
      <w:lvlJc w:val="left"/>
      <w:pPr>
        <w:ind w:left="360" w:hanging="360"/>
      </w:pPr>
      <w:rPr>
        <w:rFonts w:ascii="Wingdings" w:hAnsi="Wingdings" w:hint="default"/>
      </w:rPr>
    </w:lvl>
  </w:abstractNum>
  <w:abstractNum w:abstractNumId="0">
    <w:lvl w:ilvl="0">
      <w:start w:val="1"/>
      <w:numFmt w:val="bullet"/>
      <w:lvlText w:val="l"/>
      <w:lvlJc w:val="left"/>
      <w:pPr>
        <w:ind w:left="360" w:hanging="360"/>
      </w:pPr>
      <w:rPr>
        <w:rFonts w:ascii="Wingdings" w:hAnsi="Wingdings" w:hint="default"/>
      </w:rPr>
    </w:lvl>
  </w:abstractNum>
  <w:abstractNum w:abstractNumId="0">
    <w:lvl w:ilvl="0">
      <w:start w:val="1"/>
      <w:numFmt w:val="bullet"/>
      <w:lvlText w:val="l"/>
      <w:lvlJc w:val="left"/>
      <w:pPr>
        <w:ind w:left="36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0"/>
  </w:num>
  <w:num w:numId="8">
    <w:abstractNumId w:val="0"/>
  </w:num>
</w:numbering>
</file>

<file path=word/settings.xml><?xml version="1.0" encoding="utf-8"?>
<w:settings xmlns:w="http://schemas.openxmlformats.org/wordprocessingml/2006/main"/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4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3139B0"/>
    <w:pPr>
      <w:widowControl w:val="0"/>
      <w:spacing w:line="360" w:lineRule="auto"/>
      <w:jc w:val="both"/>
    </w:pPr>
    <w:rPr>
      <w:color w:val="404040" w:themeColor="text1" w:themeTint="BF"/>
    </w:rPr>
  </w:style>
  <w:style w:type="paragraph" w:styleId="2">
    <w:name w:val="heading 2"/>
    <w:basedOn w:val="a0"/>
    <w:next w:val="a0"/>
    <w:link w:val="21"/>
    <w:uiPriority w:val="9"/>
    <w:unhideWhenUsed/>
    <w:qFormat/>
    <w:rsid w:val="006267B3"/>
    <w:pPr>
      <w:keepNext/>
      <w:keepLines/>
      <w:spacing w:before="260" w:after="260" w:line="416" w:lineRule="auto"/>
      <w:jc w:val="left"/>
      <w:outlineLvl w:val="1"/>
    </w:pPr>
    <w:rPr>
      <w:rFonts w:asciiTheme="majorHAnsi" w:hAnsiTheme="majorHAnsi" w:cstheme="majorBidi"/>
      <w:bCs/>
      <w:color w:val="27264D"/>
      <w:sz w:val="30"/>
      <w:szCs w:val="3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Title"/>
    <w:basedOn w:val="a0"/>
    <w:next w:val="a0"/>
    <w:link w:val="a5"/>
    <w:uiPriority w:val="10"/>
    <w:qFormat/>
    <w:rsid w:val="008E22A6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customStyle="1" w:styleId="a5">
    <w:name w:val="标题 字符"/>
    <w:basedOn w:val="a1"/>
    <w:link w:val="a4"/>
    <w:uiPriority w:val="10"/>
    <w:rsid w:val="008E22A6"/>
    <w:rPr>
      <w:rFonts w:asciiTheme="majorHAnsi" w:eastAsiaTheme="majorEastAsia" w:hAnsiTheme="majorHAnsi" w:cstheme="majorBidi"/>
      <w:b/>
      <w:bCs/>
      <w:sz w:val="32"/>
      <w:szCs w:val="32"/>
    </w:rPr>
  </w:style>
  <w:style w:type="character" w:customStyle="1" w:styleId="21">
    <w:name w:val="标题 2 字符"/>
    <w:basedOn w:val="a1"/>
    <w:link w:val="2"/>
    <w:uiPriority w:val="9"/>
    <w:rsid w:val="006267B3"/>
    <w:rPr>
      <w:rFonts w:asciiTheme="majorHAnsi" w:eastAsia="微软雅黑" w:hAnsiTheme="majorHAnsi" w:cstheme="majorBidi"/>
      <w:bCs/>
      <w:color w:val="27264D"/>
      <w:sz w:val="30"/>
      <w:szCs w:val="32"/>
    </w:rPr>
  </w:style>
  <w:style w:type="character" w:styleId="a6">
    <w:name w:val="Strong"/>
    <w:basedOn w:val="a1"/>
    <w:uiPriority w:val="22"/>
    <w:qFormat/>
    <w:rsid w:val="006267B3"/>
    <w:rPr>
      <w:rFonts w:eastAsia="微软雅黑"/>
      <w:b/>
      <w:bCs/>
      <w:i w:val="0"/>
      <w:color w:val="27264D"/>
    </w:rPr>
  </w:style>
  <w:style w:type="paragraph" w:customStyle="1" w:styleId="a7">
    <w:name w:val="一级标题"/>
    <w:basedOn w:val="a8"/>
    <w:autoRedefine/>
    <w:qFormat/>
    <w:rsid w:val="00511359"/>
    <w:pPr>
      <w:jc w:val="left"/>
    </w:pPr>
    <w:rPr>
      <w:bCs w:val="0"/>
      <w:color w:val="000000" w:themeColor="text1"/>
      <w:sz w:val="30"/>
    </w:rPr>
  </w:style>
  <w:style w:type="paragraph" w:styleId="a8">
    <w:name w:val="Subtitle"/>
    <w:basedOn w:val="a0"/>
    <w:next w:val="a0"/>
    <w:link w:val="a9"/>
    <w:uiPriority w:val="11"/>
    <w:qFormat/>
    <w:rsid w:val="006267B3"/>
    <w:pPr>
      <w:spacing w:before="240" w:after="60" w:line="312" w:lineRule="auto"/>
      <w:jc w:val="center"/>
      <w:outlineLvl w:val="1"/>
    </w:pPr>
    <w:rPr>
      <w:b/>
      <w:bCs/>
      <w:kern w:val="28"/>
      <w:sz w:val="32"/>
      <w:szCs w:val="32"/>
    </w:rPr>
  </w:style>
  <w:style w:type="character" w:customStyle="1" w:styleId="a9">
    <w:name w:val="副标题 字符"/>
    <w:basedOn w:val="a1"/>
    <w:link w:val="a8"/>
    <w:uiPriority w:val="11"/>
    <w:rsid w:val="006267B3"/>
    <w:rPr>
      <w:b/>
      <w:bCs/>
      <w:color w:val="474667"/>
      <w:kern w:val="28"/>
      <w:sz w:val="32"/>
      <w:szCs w:val="32"/>
    </w:rPr>
  </w:style>
  <w:style w:type="paragraph" w:customStyle="1" w:styleId="aa">
    <w:name w:val="标签"/>
    <w:basedOn w:val="ab"/>
    <w:qFormat/>
    <w:rsid w:val="00865510"/>
    <w:rPr>
      <w:szCs w:val="21"/>
    </w:rPr>
  </w:style>
  <w:style w:type="paragraph" w:customStyle="1" w:styleId="a">
    <w:name w:val="时间戳+章节"/>
    <w:basedOn w:val="a0"/>
    <w:qFormat/>
    <w:rsid w:val="00D86193"/>
    <w:pPr>
      <w:numPr>
        <w:numId w:val="17"/>
      </w:numPr>
    </w:pPr>
  </w:style>
  <w:style w:type="paragraph" w:customStyle="1" w:styleId="ac">
    <w:name w:val="大标题"/>
    <w:basedOn w:val="a4"/>
    <w:autoRedefine/>
    <w:qFormat/>
    <w:rsid w:val="00511359"/>
    <w:rPr>
      <w:rFonts w:asciiTheme="minorHAnsi" w:eastAsiaTheme="minorEastAsia" w:hAnsiTheme="minorHAnsi"/>
      <w:color w:val="000000" w:themeColor="text1"/>
      <w:sz w:val="36"/>
      <w:szCs w:val="36"/>
    </w:rPr>
  </w:style>
  <w:style w:type="paragraph" w:customStyle="1" w:styleId="ab">
    <w:name w:val="二级正文"/>
    <w:basedOn w:val="a0"/>
    <w:qFormat/>
    <w:rsid w:val="00F069C6"/>
    <w:rPr>
      <w:b/>
    </w:rPr>
  </w:style>
  <w:style w:type="numbering" w:customStyle="1" w:styleId="1">
    <w:name w:val="当前列表1"/>
    <w:uiPriority w:val="99"/>
    <w:rsid w:val="00C07DA3"/>
  </w:style>
  <w:style w:type="numbering" w:customStyle="1" w:styleId="22">
    <w:name w:val="当前列表2"/>
    <w:uiPriority w:val="99"/>
    <w:rsid w:val="00C07DA3"/>
  </w:style>
  <w:style w:type="numbering" w:customStyle="1" w:styleId="3">
    <w:name w:val="当前列表3"/>
    <w:uiPriority w:val="99"/>
    <w:rsid w:val="00C07DA3"/>
  </w:style>
  <w:style w:type="numbering" w:customStyle="1" w:styleId="4">
    <w:name w:val="当前列表4"/>
    <w:uiPriority w:val="99"/>
    <w:rsid w:val="00C07DA3"/>
  </w:style>
  <w:style w:type="numbering" w:customStyle="1" w:styleId="5">
    <w:name w:val="当前列表5"/>
    <w:uiPriority w:val="99"/>
    <w:rsid w:val="00C07DA3"/>
  </w:style>
  <w:style w:type="numbering" w:customStyle="1" w:styleId="6">
    <w:name w:val="当前列表6"/>
    <w:uiPriority w:val="99"/>
    <w:rsid w:val="00C07DA3"/>
  </w:style>
  <w:style w:type="numbering" w:customStyle="1" w:styleId="7">
    <w:name w:val="当前列表7"/>
    <w:uiPriority w:val="99"/>
    <w:rsid w:val="00C07DA3"/>
  </w:style>
  <w:style w:type="numbering" w:customStyle="1" w:styleId="8">
    <w:name w:val="当前列表8"/>
    <w:uiPriority w:val="99"/>
    <w:rsid w:val="00933C9B"/>
  </w:style>
  <w:style w:type="numbering" w:customStyle="1" w:styleId="9">
    <w:name w:val="当前列表9"/>
    <w:uiPriority w:val="99"/>
    <w:rsid w:val="00933C9B"/>
  </w:style>
  <w:style w:type="numbering" w:customStyle="1" w:styleId="10">
    <w:name w:val="当前列表10"/>
    <w:uiPriority w:val="99"/>
    <w:rsid w:val="00933C9B"/>
  </w:style>
  <w:style w:type="numbering" w:customStyle="1" w:styleId="11">
    <w:name w:val="当前列表11"/>
    <w:uiPriority w:val="99"/>
    <w:rsid w:val="00933C9B"/>
  </w:style>
  <w:style w:type="numbering" w:customStyle="1" w:styleId="12">
    <w:name w:val="当前列表12"/>
    <w:uiPriority w:val="99"/>
    <w:rsid w:val="00933C9B"/>
  </w:style>
  <w:style w:type="numbering" w:customStyle="1" w:styleId="13">
    <w:name w:val="当前列表13"/>
    <w:uiPriority w:val="99"/>
    <w:rsid w:val="00774E72"/>
  </w:style>
  <w:style w:type="numbering" w:customStyle="1" w:styleId="14">
    <w:name w:val="当前列表14"/>
    <w:uiPriority w:val="99"/>
    <w:rsid w:val="00774E72"/>
  </w:style>
  <w:style w:type="numbering" w:customStyle="1" w:styleId="15">
    <w:name w:val="当前列表15"/>
    <w:uiPriority w:val="99"/>
    <w:rsid w:val="00774E72"/>
  </w:style>
  <w:style w:type="numbering" w:customStyle="1" w:styleId="16">
    <w:name w:val="当前列表16"/>
    <w:uiPriority w:val="99"/>
    <w:rsid w:val="00774E72"/>
  </w:style>
  <w:style w:type="numbering" w:customStyle="1" w:styleId="17">
    <w:name w:val="当前列表17"/>
    <w:uiPriority w:val="99"/>
    <w:rsid w:val="00774E72"/>
  </w:style>
  <w:style w:type="numbering" w:customStyle="1" w:styleId="18">
    <w:name w:val="当前列表18"/>
    <w:uiPriority w:val="99"/>
    <w:rsid w:val="00774E72"/>
  </w:style>
  <w:style w:type="numbering" w:customStyle="1" w:styleId="19">
    <w:name w:val="当前列表19"/>
    <w:uiPriority w:val="99"/>
    <w:rsid w:val="00774E72"/>
  </w:style>
  <w:style w:type="numbering" w:customStyle="1" w:styleId="20">
    <w:name w:val="当前列表20"/>
    <w:uiPriority w:val="99"/>
    <w:rsid w:val="00865510"/>
    <w:pPr>
      <w:numPr>
        <w:numId w:val="44"/>
      </w:numPr>
    </w:pPr>
  </w:style>
</w:styles>
</file>

<file path=word/_rels/document.xml.rels><?xml version="1.0" encoding="UTF-8" standalone="yes"?><Relationships xmlns="http://schemas.openxmlformats.org/package/2006/relationships"><Relationship Id="rId1" Target="settings.xml" Type="http://schemas.openxmlformats.org/officeDocument/2006/relationships/settings"/><Relationship Id="rId2" Target="numbering.xml" Type="http://schemas.openxmlformats.org/officeDocument/2006/relationships/numbering"/><Relationship Id="rId3" Target="styles.xml" Type="http://schemas.openxmlformats.org/officeDocument/2006/relationships/styles"/></Relationships>
</file>

<file path=docProps/app.xml><?xml version="1.0" encoding="utf-8"?>
<Properties xmlns="http://schemas.openxmlformats.org/officeDocument/2006/extended-properties">
  <Application>Apache POI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2026-08-16T14:44:49Z</dcterms:created>
  <dc:creator>Apache POI</dc:creator>
</cp:coreProperties>
</file>