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【金属与材料】研究框架 260814_导读</w:t>
      </w:r>
    </w:p>
    <w:p>
      <w:pPr>
        <w:pStyle w:val="a0"/>
        <w:jc w:val="center"/>
      </w:pPr>
      <w:r>
        <w:t>2026年08月16日 09:52</w:t>
      </w:r>
    </w:p>
    <w:p>
      <w:pPr>
        <w:pStyle w:val="a7"/>
      </w:pPr>
      <w:r>
        <w:t>关键词</w:t>
      </w:r>
    </w:p>
    <w:p>
      <w:r>
        <w:rPr>
          <w:rFonts w:ascii="等线(中文正文)" w:hAnsi="等线(中文正文)" w:cs="等线(中文正文)" w:eastAsia="等线(中文正文)"/>
          <w:b w:val="false"/>
          <w:i w:val="false"/>
          <w:sz w:val="20"/>
        </w:rPr>
        <w:t xml:space="preserve">黄金 美元信用 实际利率 央行购金 避险需求 AI 地缘政治 供给端 冶炼成本 偿债风险 中期选举 配置需求 顺风局 货币属性 电解铝 稀土 需求结构 供应端 关税 废铜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当前市场条件下，黄金、铜、铝、稀土、锡等金属及其衍生材料的价值、供应、需求和未来趋势成为关注焦点。信用周期和美元信用对黄金价格有显著影响，尤其在美元信用受损、实际利率下降和避险需求增加的环境下，黄金展现出利好趋势。铜面临供应问题，铝的产能与需求结构优化成为关注点，稀土资源的稀缺性与产业重塑预示着价格波动，而锡的需求增长和材料技术进步推动相关金属价格上扬。AI技术发展，特别是对芯片电感、MLCC、纳米金等关键材料的需求增加，预示着市场前景广阔，供需关系紧张可能进一步推高金属价格，促进相关产业发展。</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黄金价格波动与美元信用周期的关系</w:t>
      </w:r>
    </w:p>
    <w:p>
      <w:r>
        <w:rPr>
          <w:rFonts w:ascii="等线(中文正文)" w:hAnsi="等线(中文正文)" w:cs="等线(中文正文)" w:eastAsia="等线(中文正文)"/>
          <w:b w:val="false"/>
          <w:i w:val="false"/>
          <w:sz w:val="20"/>
        </w:rPr>
        <w:t>讨论了黄金作为信用周期指标的角色，指出黄金价格受美元信用和无风险资产安全性影响，以及实际利率和避险需求的作用。黄金的金融属性与储备需求影响其短期和中长期走势，而实际利率决定了黄金的机会成本。近年来，黄金的定价框架已从利率交易扩展到信用交易，尤其是在疫情后，黄金成为美元信用的对冲资产，其价格走势与美元信用周期紧密相关。</w:t>
      </w:r>
    </w:p>
    <w:p>
      <w:r>
        <w:rPr>
          <w:rFonts w:ascii="等线(中文正文)" w:hAnsi="等线(中文正文)" w:cs="等线(中文正文)" w:eastAsia="等线(中文正文)"/>
          <w:b w:val="false"/>
          <w:i w:val="false"/>
          <w:sz w:val="20"/>
        </w:rPr>
        <w:t/>
      </w:r>
    </w:p>
    <w:p>
      <w:pPr>
        <w:pStyle w:val="ab"/>
        <w:numPr>
          <w:numId w:val="2"/>
        </w:numPr>
      </w:pPr>
      <w:r>
        <w:t>03:42 黄金作为美元信用对冲资产的价值分析</w:t>
      </w:r>
    </w:p>
    <w:p>
      <w:r>
        <w:rPr>
          <w:rFonts w:ascii="等线(中文正文)" w:hAnsi="等线(中文正文)" w:cs="等线(中文正文)" w:eastAsia="等线(中文正文)"/>
          <w:b w:val="false"/>
          <w:i w:val="false"/>
          <w:sz w:val="20"/>
        </w:rPr>
        <w:t>黄金被视作中长期的美元信用对冲资产，其价值在当前地缘政治冲突和美国财政赤字扩大的背景下凸显。央行购金数据支持这一趋势，尽管短期金价受实际利率影响波动，但中长期看黄金仍具配置价值。AI发展和经济状况表明年内加息可能性低，对黄金价格形成支撑。</w:t>
      </w:r>
    </w:p>
    <w:p>
      <w:r>
        <w:rPr>
          <w:rFonts w:ascii="等线(中文正文)" w:hAnsi="等线(中文正文)" w:cs="等线(中文正文)" w:eastAsia="等线(中文正文)"/>
          <w:b w:val="false"/>
          <w:i w:val="false"/>
          <w:sz w:val="20"/>
        </w:rPr>
        <w:t/>
      </w:r>
    </w:p>
    <w:p>
      <w:pPr>
        <w:pStyle w:val="ab"/>
        <w:numPr>
          <w:numId w:val="3"/>
        </w:numPr>
      </w:pPr>
      <w:r>
        <w:t>10:08 黄金与铜的市场前景分析</w:t>
      </w:r>
    </w:p>
    <w:p>
      <w:r>
        <w:rPr>
          <w:rFonts w:ascii="等线(中文正文)" w:hAnsi="等线(中文正文)" w:cs="等线(中文正文)" w:eastAsia="等线(中文正文)"/>
          <w:b w:val="false"/>
          <w:i w:val="false"/>
          <w:sz w:val="20"/>
        </w:rPr>
        <w:t>对话深入探讨了黄金和铜在当前市场环境下的表现与未来趋势。对于黄金，分析指出其受美元体系和美债利率影响，向下空间有限，且在美债风险和中期选举背景下，黄金作为配置需求正逐步体现，预计下半年将迎来结构性价值重估。关于铜，强调其资源属性强，供应增速缓慢，受自然因素影响大，但AI领域新增需求可能推高价格，建议逢低买入，看好其长期增长潜力。</w:t>
      </w:r>
    </w:p>
    <w:p>
      <w:r>
        <w:rPr>
          <w:rFonts w:ascii="等线(中文正文)" w:hAnsi="等线(中文正文)" w:cs="等线(中文正文)" w:eastAsia="等线(中文正文)"/>
          <w:b w:val="false"/>
          <w:i w:val="false"/>
          <w:sz w:val="20"/>
        </w:rPr>
        <w:t/>
      </w:r>
    </w:p>
    <w:p>
      <w:pPr>
        <w:pStyle w:val="ab"/>
        <w:numPr>
          <w:numId w:val="4"/>
        </w:numPr>
      </w:pPr>
      <w:r>
        <w:t>16:24 铜与电解铝市场分析：关税影响与供应瓶颈</w:t>
      </w:r>
    </w:p>
    <w:p>
      <w:r>
        <w:rPr>
          <w:rFonts w:ascii="等线(中文正文)" w:hAnsi="等线(中文正文)" w:cs="等线(中文正文)" w:eastAsia="等线(中文正文)"/>
          <w:b w:val="false"/>
          <w:i w:val="false"/>
          <w:sz w:val="20"/>
        </w:rPr>
        <w:t>讨论了美国可能对铜征收关税的影响，指出关税预期与供应稀缺共同支撑铜价底部抬升，认为铜为长牛配置资产。同时，分析电解铝行业产能上限与产量约束，预测未来供应瓶颈加重，海外供应释放可能不及预期。</w:t>
      </w:r>
    </w:p>
    <w:p>
      <w:r>
        <w:rPr>
          <w:rFonts w:ascii="等线(中文正文)" w:hAnsi="等线(中文正文)" w:cs="等线(中文正文)" w:eastAsia="等线(中文正文)"/>
          <w:b w:val="false"/>
          <w:i w:val="false"/>
          <w:sz w:val="20"/>
        </w:rPr>
        <w:t/>
      </w:r>
    </w:p>
    <w:p>
      <w:pPr>
        <w:pStyle w:val="ab"/>
        <w:numPr>
          <w:numId w:val="5"/>
        </w:numPr>
      </w:pPr>
      <w:r>
        <w:t>20:21 电解铝行业分析：海外产能不确定性与需求多元化</w:t>
      </w:r>
    </w:p>
    <w:p>
      <w:r>
        <w:rPr>
          <w:rFonts w:ascii="等线(中文正文)" w:hAnsi="等线(中文正文)" w:cs="等线(中文正文)" w:eastAsia="等线(中文正文)"/>
          <w:b w:val="false"/>
          <w:i w:val="false"/>
          <w:sz w:val="20"/>
        </w:rPr>
        <w:t>讨论了海外电解铝产能投产的不确定性，主要受基建条件差和电力紧缺影响。同时，分析了铝需求结构的优化，特别是交运和电力领域的增长，以及铝作为传统金属在新兴应用领域的潜力。最后，对电解铝行业的高盈利格局和投资价值进行了评估，认为其正逐步从强周期品转变为兼具价格弹性和分红支撑的优质资产。</w:t>
      </w:r>
    </w:p>
    <w:p>
      <w:r>
        <w:rPr>
          <w:rFonts w:ascii="等线(中文正文)" w:hAnsi="等线(中文正文)" w:cs="等线(中文正文)" w:eastAsia="等线(中文正文)"/>
          <w:b w:val="false"/>
          <w:i w:val="false"/>
          <w:sz w:val="20"/>
        </w:rPr>
        <w:t/>
      </w:r>
    </w:p>
    <w:p>
      <w:pPr>
        <w:pStyle w:val="ab"/>
        <w:numPr>
          <w:numId w:val="6"/>
        </w:numPr>
      </w:pPr>
      <w:r>
        <w:t>25:40 稀土产业重塑与价格重估：政策先行与供需优化</w:t>
      </w:r>
    </w:p>
    <w:p>
      <w:r>
        <w:rPr>
          <w:rFonts w:ascii="等线(中文正文)" w:hAnsi="等线(中文正文)" w:cs="等线(中文正文)" w:eastAsia="等线(中文正文)"/>
          <w:b w:val="false"/>
          <w:i w:val="false"/>
          <w:sz w:val="20"/>
        </w:rPr>
        <w:t>对话讨论了稀土产业的重塑，强调了中重稀土价值和分离环节的重要性。政策变化推动了资源管理和分离厂管控的优化，预示着长期供需偏紧的市场趋势。需求端，尤其是AI驱动的电驱时代，将不断拓展稀土的应用领域。整体上，稀土板块的资产重估和价格上行预期强烈，伴随政策利好和市场需求增长。</w:t>
      </w:r>
    </w:p>
    <w:p>
      <w:r>
        <w:rPr>
          <w:rFonts w:ascii="等线(中文正文)" w:hAnsi="等线(中文正文)" w:cs="等线(中文正文)" w:eastAsia="等线(中文正文)"/>
          <w:b w:val="false"/>
          <w:i w:val="false"/>
          <w:sz w:val="20"/>
        </w:rPr>
        <w:t/>
      </w:r>
    </w:p>
    <w:p>
      <w:pPr>
        <w:pStyle w:val="ab"/>
        <w:numPr>
          <w:numId w:val="7"/>
        </w:numPr>
      </w:pPr>
      <w:r>
        <w:t>30:48 稀土与钨产业趋势及价格中枢上行分析</w:t>
      </w:r>
    </w:p>
    <w:p>
      <w:r>
        <w:rPr>
          <w:rFonts w:ascii="等线(中文正文)" w:hAnsi="等线(中文正文)" w:cs="等线(中文正文)" w:eastAsia="等线(中文正文)"/>
          <w:b w:val="false"/>
          <w:i w:val="false"/>
          <w:sz w:val="20"/>
        </w:rPr>
        <w:t>讨论了稀土和钨两个产业的长期趋势，指出稀土价格偏差将回归，中重稀土价格有大幅上行空间，伴随分离厂优化和牌照生意影响，行业盈利将改善。同时，钨产业正经历国产替代和利润重估，供应端收紧和需求结构重塑推动物价中枢提升，整体产业持续优化迭代。</w:t>
      </w:r>
    </w:p>
    <w:p>
      <w:r>
        <w:rPr>
          <w:rFonts w:ascii="等线(中文正文)" w:hAnsi="等线(中文正文)" w:cs="等线(中文正文)" w:eastAsia="等线(中文正文)"/>
          <w:b w:val="false"/>
          <w:i w:val="false"/>
          <w:sz w:val="20"/>
        </w:rPr>
        <w:t/>
      </w:r>
    </w:p>
    <w:p>
      <w:pPr>
        <w:pStyle w:val="ab"/>
        <w:numPr>
          <w:numId w:val="8"/>
        </w:numPr>
      </w:pPr>
      <w:r>
        <w:t>35:47 小金属与锂资源：供需变化与产业链重构</w:t>
      </w:r>
    </w:p>
    <w:p>
      <w:r>
        <w:rPr>
          <w:rFonts w:ascii="等线(中文正文)" w:hAnsi="等线(中文正文)" w:cs="等线(中文正文)" w:eastAsia="等线(中文正文)"/>
          <w:b w:val="false"/>
          <w:i w:val="false"/>
          <w:sz w:val="20"/>
        </w:rPr>
        <w:t>讨论了小金属品类如阴、坦在光电材料和AI需求推动下的供需变化，以及锂资源从供应到需求的结构性转变。国内和非洲矿产增长，储能需求快速增加，锂产业链利润分配更趋合理，行业整体景气度提升。</w:t>
      </w:r>
    </w:p>
    <w:p>
      <w:r>
        <w:rPr>
          <w:rFonts w:ascii="等线(中文正文)" w:hAnsi="等线(中文正文)" w:cs="等线(中文正文)" w:eastAsia="等线(中文正文)"/>
          <w:b w:val="false"/>
          <w:i w:val="false"/>
          <w:sz w:val="20"/>
        </w:rPr>
        <w:t/>
      </w:r>
    </w:p>
    <w:p>
      <w:pPr>
        <w:pStyle w:val="ab"/>
        <w:numPr>
          <w:numId w:val="9"/>
        </w:numPr>
      </w:pPr>
      <w:r>
        <w:t>39:12 资源民族主义与锂产业链价值分析</w:t>
      </w:r>
    </w:p>
    <w:p>
      <w:r>
        <w:rPr>
          <w:rFonts w:ascii="等线(中文正文)" w:hAnsi="等线(中文正文)" w:cs="等线(中文正文)" w:eastAsia="等线(中文正文)"/>
          <w:b w:val="false"/>
          <w:i w:val="false"/>
          <w:sz w:val="20"/>
        </w:rPr>
        <w:t>对话探讨了资源民族主义事件对锂产业链的影响，指出锂资源作为‘白色石油’应发挥其价值，强调产业链需合理利润。上半年锂资源价格高企，资本开支大，中长期价格底部清晰。市场从预期博弈转向业绩验证，下半年需求旺盛，出口管控及税收政策利好，叠加矿山放量，短期支撑强劲。</w:t>
      </w:r>
    </w:p>
    <w:p>
      <w:r>
        <w:rPr>
          <w:rFonts w:ascii="等线(中文正文)" w:hAnsi="等线(中文正文)" w:cs="等线(中文正文)" w:eastAsia="等线(中文正文)"/>
          <w:b w:val="false"/>
          <w:i w:val="false"/>
          <w:sz w:val="20"/>
        </w:rPr>
        <w:t/>
      </w:r>
    </w:p>
    <w:p>
      <w:pPr>
        <w:pStyle w:val="ab"/>
        <w:numPr>
          <w:numId w:val="10"/>
        </w:numPr>
      </w:pPr>
      <w:r>
        <w:t>41:03 锂矿与锡资源：供需紧平衡下的价值重估与价格抬升</w:t>
      </w:r>
    </w:p>
    <w:p>
      <w:r>
        <w:rPr>
          <w:rFonts w:ascii="等线(中文正文)" w:hAnsi="等线(中文正文)" w:cs="等线(中文正文)" w:eastAsia="等线(中文正文)"/>
          <w:b w:val="false"/>
          <w:i w:val="false"/>
          <w:sz w:val="20"/>
        </w:rPr>
        <w:t>讨论了锂矿股在短期强现实与锂价中枢抬升背景下，市场对中长期价值重估的预期，预示着可能的反弹行情。同时，深入分析了锡资源的高度集中供应、地壳中含量低、新兴AI领域需求激增等特性，指出供给紧缺与新应用领域的结合将强力推动锡价大幅抬升，看好锡资源的未来市场表现。</w:t>
      </w:r>
    </w:p>
    <w:p>
      <w:r>
        <w:rPr>
          <w:rFonts w:ascii="等线(中文正文)" w:hAnsi="等线(中文正文)" w:cs="等线(中文正文)" w:eastAsia="等线(中文正文)"/>
          <w:b w:val="false"/>
          <w:i w:val="false"/>
          <w:sz w:val="20"/>
        </w:rPr>
        <w:t/>
      </w:r>
    </w:p>
    <w:p>
      <w:pPr>
        <w:pStyle w:val="ab"/>
        <w:numPr>
          <w:numId w:val="11"/>
        </w:numPr>
      </w:pPr>
      <w:r>
        <w:t>43:36 AI算力驱动材料变革，金属软磁芯片电感前景广阔</w:t>
      </w:r>
    </w:p>
    <w:p>
      <w:r>
        <w:rPr>
          <w:rFonts w:ascii="等线(中文正文)" w:hAnsi="等线(中文正文)" w:cs="等线(中文正文)" w:eastAsia="等线(中文正文)"/>
          <w:b w:val="false"/>
          <w:i w:val="false"/>
          <w:sz w:val="20"/>
        </w:rPr>
        <w:t>AI算力的提升推动材料变革，金属软磁芯片电感因小型化和耐大电流优势，在AI服务器及低功率应用场景中需求激增，预计2028年市场空间达100亿，复合增速近40%。</w:t>
      </w:r>
    </w:p>
    <w:p>
      <w:r>
        <w:rPr>
          <w:rFonts w:ascii="等线(中文正文)" w:hAnsi="等线(中文正文)" w:cs="等线(中文正文)" w:eastAsia="等线(中文正文)"/>
          <w:b w:val="false"/>
          <w:i w:val="false"/>
          <w:sz w:val="20"/>
        </w:rPr>
        <w:t/>
      </w:r>
    </w:p>
    <w:p>
      <w:pPr>
        <w:pStyle w:val="ab"/>
        <w:numPr>
          <w:numId w:val="12"/>
        </w:numPr>
      </w:pPr>
      <w:r>
        <w:t>46:55 金属新材料行业分析：电感、MLCC与SST的市场前景</w:t>
      </w:r>
    </w:p>
    <w:p>
      <w:r>
        <w:rPr>
          <w:rFonts w:ascii="等线(中文正文)" w:hAnsi="等线(中文正文)" w:cs="等线(中文正文)" w:eastAsia="等线(中文正文)"/>
          <w:b w:val="false"/>
          <w:i w:val="false"/>
          <w:sz w:val="20"/>
        </w:rPr>
        <w:t>会议分享了电感、MLCC及SST在金属新材料领域的市场空间与增长潜力，特别强调了AI服务器对高容MLCC和纳米金在大功率场景下的需求，以及国内企业在飞行纳米金市场中的崛起与国产替代趋势，建议关注相关核心标的。</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深入探讨了黄金市场的本质、供应属性及其价格周期性波动的驱动因素，强调了美元信用受损和实际利率下降对金价的正面影响。他指出，黄金价格的变动不仅受制于美元信用状态，还受到美国经济表现、全球对美元态度的影响，特别是在地缘政治冲突和金融制裁频发的背景下，黄金作为美元信用的对冲资产显得尤为重要。此外，发言人分析了黄金的金融属性，特别是自1999年以来，黄金定价框架如何从单一的利率交易扩展到更广泛的信用交易。他还讨论了其他金属和新材料市场的状况，指出AI的发展对某些金属需求产生了重大影响。最后，发言人展望了金属市场的未来趋势，认为尽管面临短期波动，但长期来看，黄金等金属的价值有望得到重估，特别是在全球金融和地缘政治不确定性增加的背景下，新技术和新材料的持续投资机会尤为值得关注。</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问：黄金的本质是什么？它的供应属性是否是决定其价值的关键因素？黄金价格上涨的主要驱动因素是什么？</w:t>
      </w:r>
    </w:p>
    <w:p>
      <w:r>
        <w:rPr>
          <w:rFonts w:ascii="等线(中文正文)" w:hAnsi="等线(中文正文)" w:cs="等线(中文正文)" w:eastAsia="等线(中文正文)"/>
          <w:b w:val="false"/>
          <w:i w:val="false"/>
          <w:sz w:val="20"/>
        </w:rPr>
        <w:t>发言人1 答：黄金的本质其实不常讨论其商品属性或供应属性，因为黄金的供应相对缓慢，虽有伴生矿产等来源，但并非经济的主要矛盾。黄金价格波动的核心是信用周期，市场通过重新给美元信用和无风险资产安全性定价来影响黄金价格。黄金价格上涨主要受益于美元信用受损、实际利率下行以及避险和金融属性的上升。而黄金下跌则通常发生在美元信用修复、经济大幅上行、实际利率高企以及风险资产回报增强时。</w:t>
      </w:r>
    </w:p>
    <w:p>
      <w:r>
        <w:rPr>
          <w:rFonts w:ascii="等线(中文正文)" w:hAnsi="等线(中文正文)" w:cs="等线(中文正文)" w:eastAsia="等线(中文正文)"/>
          <w:b w:val="false"/>
          <w:i w:val="false"/>
          <w:sz w:val="20"/>
        </w:rPr>
        <w:t/>
      </w:r>
    </w:p>
    <w:p>
      <w:pPr>
        <w:pStyle w:val="ab"/>
      </w:pPr>
      <w:r>
        <w:t>发言人1 问：黄金的底层定价机制包含哪些因素？</w:t>
      </w:r>
    </w:p>
    <w:p>
      <w:r>
        <w:rPr>
          <w:rFonts w:ascii="等线(中文正文)" w:hAnsi="等线(中文正文)" w:cs="等线(中文正文)" w:eastAsia="等线(中文正文)"/>
          <w:b w:val="false"/>
          <w:i w:val="false"/>
          <w:sz w:val="20"/>
        </w:rPr>
        <w:t>发言人1 答：黄金的底层定价机制主要包括金融需求（由市场实际利率决定）、储备需求和避险需求（体现货币属性），以及全球其他国家对美元及美国经济的看法，这两大方向共同决定了黄金的短期和中长期走势。</w:t>
      </w:r>
    </w:p>
    <w:p>
      <w:r>
        <w:rPr>
          <w:rFonts w:ascii="等线(中文正文)" w:hAnsi="等线(中文正文)" w:cs="等线(中文正文)" w:eastAsia="等线(中文正文)"/>
          <w:b w:val="false"/>
          <w:i w:val="false"/>
          <w:sz w:val="20"/>
        </w:rPr>
        <w:t/>
      </w:r>
    </w:p>
    <w:p>
      <w:pPr>
        <w:pStyle w:val="ab"/>
      </w:pPr>
      <w:r>
        <w:t>发言人1 问：当前影响黄金的主要因素有哪些？</w:t>
      </w:r>
    </w:p>
    <w:p>
      <w:r>
        <w:rPr>
          <w:rFonts w:ascii="等线(中文正文)" w:hAnsi="等线(中文正文)" w:cs="等线(中文正文)" w:eastAsia="等线(中文正文)"/>
          <w:b w:val="false"/>
          <w:i w:val="false"/>
          <w:sz w:val="20"/>
        </w:rPr>
        <w:t>发言人1 答：当前影响黄金的主要因素分为两大类：一类是基于美债体系下，关注美国经济状况、负债结构、增长预期等因素；另一类是全球其他国家对美元及美国经济的看法，以及地缘政治对世界格局的影响。</w:t>
      </w:r>
    </w:p>
    <w:p>
      <w:r>
        <w:rPr>
          <w:rFonts w:ascii="等线(中文正文)" w:hAnsi="等线(中文正文)" w:cs="等线(中文正文)" w:eastAsia="等线(中文正文)"/>
          <w:b w:val="false"/>
          <w:i w:val="false"/>
          <w:sz w:val="20"/>
        </w:rPr>
        <w:t/>
      </w:r>
    </w:p>
    <w:p>
      <w:pPr>
        <w:pStyle w:val="ab"/>
      </w:pPr>
      <w:r>
        <w:t>发言人1 问：实际利率如何影响黄金的机会成本？当前黄金价格走势及未来展望如何？</w:t>
      </w:r>
    </w:p>
    <w:p>
      <w:r>
        <w:rPr>
          <w:rFonts w:ascii="等线(中文正文)" w:hAnsi="等线(中文正文)" w:cs="等线(中文正文)" w:eastAsia="等线(中文正文)"/>
          <w:b w:val="false"/>
          <w:i w:val="false"/>
          <w:sz w:val="20"/>
        </w:rPr>
        <w:t>发言人1 答：实际利率决定了黄金的机会成本，是决定黄金在2000年以来主要定价逻辑的关键因素。尤其是在19年之后，黄金定价框架从单纯的利率交易扩展到宏大趋势和信用交易。目前黄金处于利空出尽的状态，宏观最悲观的影响已过。后续黄金价格走势将更多取决于美元体系整体系统性风险、实际利率预期变化以及地缘避险属性等因素。年内是否有必要加息还需观察AI发展状况、薪资增速、劳动生产率等因素，并考虑科技企业资本开支和市场冲击情况，对于是否加息持保留意见。</w:t>
      </w:r>
    </w:p>
    <w:p>
      <w:r>
        <w:rPr>
          <w:rFonts w:ascii="等线(中文正文)" w:hAnsi="等线(中文正文)" w:cs="等线(中文正文)" w:eastAsia="等线(中文正文)"/>
          <w:b w:val="false"/>
          <w:i w:val="false"/>
          <w:sz w:val="20"/>
        </w:rPr>
        <w:t/>
      </w:r>
    </w:p>
    <w:p>
      <w:pPr>
        <w:pStyle w:val="ab"/>
      </w:pPr>
      <w:r>
        <w:t>发言人1 问：黄金作为美元对冲资产的重要性体现在何处？</w:t>
      </w:r>
    </w:p>
    <w:p>
      <w:r>
        <w:rPr>
          <w:rFonts w:ascii="等线(中文正文)" w:hAnsi="等线(中文正文)" w:cs="等线(中文正文)" w:eastAsia="等线(中文正文)"/>
          <w:b w:val="false"/>
          <w:i w:val="false"/>
          <w:sz w:val="20"/>
        </w:rPr>
        <w:t>发言人1 答：黄金从避险资产升级为美元信用对冲资产，在当前美国财政赤字扩大、债务持续上升、债务上限博弈、地缘冲突加剧等背景下，市场会时常审视美元资产的安全性，从而使得黄金成为中长期的美元信用对冲选择。</w:t>
      </w:r>
    </w:p>
    <w:p>
      <w:r>
        <w:rPr>
          <w:rFonts w:ascii="等线(中文正文)" w:hAnsi="等线(中文正文)" w:cs="等线(中文正文)" w:eastAsia="等线(中文正文)"/>
          <w:b w:val="false"/>
          <w:i w:val="false"/>
          <w:sz w:val="20"/>
        </w:rPr>
        <w:t/>
      </w:r>
    </w:p>
    <w:p>
      <w:pPr>
        <w:pStyle w:val="ab"/>
      </w:pPr>
      <w:r>
        <w:t>发言人1 问：央行购金对黄金定价有何影响？</w:t>
      </w:r>
    </w:p>
    <w:p>
      <w:r>
        <w:rPr>
          <w:rFonts w:ascii="等线(中文正文)" w:hAnsi="等线(中文正文)" w:cs="等线(中文正文)" w:eastAsia="等线(中文正文)"/>
          <w:b w:val="false"/>
          <w:i w:val="false"/>
          <w:sz w:val="20"/>
        </w:rPr>
        <w:t>发言人1 答：央行购金是对黄金托底的底层增量，它验证了宏大趋势，但不是黄金边际定价的主要矛盾。短期内，实际利率、资金行为以及中长期配置资金的变化对黄金价格的影响更为显著。</w:t>
      </w:r>
    </w:p>
    <w:p>
      <w:r>
        <w:rPr>
          <w:rFonts w:ascii="等线(中文正文)" w:hAnsi="等线(中文正文)" w:cs="等线(中文正文)" w:eastAsia="等线(中文正文)"/>
          <w:b w:val="false"/>
          <w:i w:val="false"/>
          <w:sz w:val="20"/>
        </w:rPr>
        <w:t/>
      </w:r>
    </w:p>
    <w:p>
      <w:pPr>
        <w:pStyle w:val="ab"/>
      </w:pPr>
      <w:r>
        <w:t>发言人1 问：在当前美元体系定价的黄金市场中，黄金的价格走势如何？</w:t>
      </w:r>
    </w:p>
    <w:p>
      <w:r>
        <w:rPr>
          <w:rFonts w:ascii="等线(中文正文)" w:hAnsi="等线(中文正文)" w:cs="等线(中文正文)" w:eastAsia="等线(中文正文)"/>
          <w:b w:val="false"/>
          <w:i w:val="false"/>
          <w:sz w:val="20"/>
        </w:rPr>
        <w:t>发言人1 答：当前黄金的价格并未明确开启新一轮上涨，但其向下空间有限。美元指数在Q3呈现阶段性顶部特征，美债利率处于中心水平，通胀也没有快速回落信号，因此黄金向上突破的空间不大。同时，从美国偿债风险角度看，30年期国债利率已达到历史高位，尽管偿债利率本身不直接触发债务风险，但在财政压力和债券供应增长背景下，偿债风险不容忽视。</w:t>
      </w:r>
    </w:p>
    <w:p>
      <w:r>
        <w:rPr>
          <w:rFonts w:ascii="等线(中文正文)" w:hAnsi="等线(中文正文)" w:cs="等线(中文正文)" w:eastAsia="等线(中文正文)"/>
          <w:b w:val="false"/>
          <w:i w:val="false"/>
          <w:sz w:val="20"/>
        </w:rPr>
        <w:t/>
      </w:r>
    </w:p>
    <w:p>
      <w:pPr>
        <w:pStyle w:val="ab"/>
      </w:pPr>
      <w:r>
        <w:t>发言人1 问：对于下半年黄金市场，您的看法是什么？</w:t>
      </w:r>
    </w:p>
    <w:p>
      <w:r>
        <w:rPr>
          <w:rFonts w:ascii="等线(中文正文)" w:hAnsi="等线(中文正文)" w:cs="等线(中文正文)" w:eastAsia="等线(中文正文)"/>
          <w:b w:val="false"/>
          <w:i w:val="false"/>
          <w:sz w:val="20"/>
        </w:rPr>
        <w:t>发言人1 答：我们对下半年黄金市场持不看好的态度。原因包括美债风险、中期选举以及AI资产潜在影响导致黄金配置需求增加，另外还有加息三次尾部风险的定价需求。预计黄金结构性价值重估会在年内迎来顺风局。</w:t>
      </w:r>
    </w:p>
    <w:p>
      <w:r>
        <w:rPr>
          <w:rFonts w:ascii="等线(中文正文)" w:hAnsi="等线(中文正文)" w:cs="等线(中文正文)" w:eastAsia="等线(中文正文)"/>
          <w:b w:val="false"/>
          <w:i w:val="false"/>
          <w:sz w:val="20"/>
        </w:rPr>
        <w:t/>
      </w:r>
    </w:p>
    <w:p>
      <w:pPr>
        <w:pStyle w:val="ab"/>
      </w:pPr>
      <w:r>
        <w:t>发言人1 问：三季度有哪些重要事项会影响黄金市场？</w:t>
      </w:r>
    </w:p>
    <w:p>
      <w:r>
        <w:rPr>
          <w:rFonts w:ascii="等线(中文正文)" w:hAnsi="等线(中文正文)" w:cs="等线(中文正文)" w:eastAsia="等线(中文正文)"/>
          <w:b w:val="false"/>
          <w:i w:val="false"/>
          <w:sz w:val="20"/>
        </w:rPr>
        <w:t>发言人1 答：三季度的重要事项包括Jackson Hole会议的指引、中期选举的关键时间节点以及中美见面的时间点。而到了Q4，联储指引将更加明确，2026年末需关注美国财政问题，特别是财政部再融资会议。</w:t>
      </w:r>
    </w:p>
    <w:p>
      <w:r>
        <w:rPr>
          <w:rFonts w:ascii="等线(中文正文)" w:hAnsi="等线(中文正文)" w:cs="等线(中文正文)" w:eastAsia="等线(中文正文)"/>
          <w:b w:val="false"/>
          <w:i w:val="false"/>
          <w:sz w:val="20"/>
        </w:rPr>
        <w:t/>
      </w:r>
    </w:p>
    <w:p>
      <w:pPr>
        <w:pStyle w:val="ab"/>
      </w:pPr>
      <w:r>
        <w:t>发言人1 问：对于铜价走势，您有何看法？</w:t>
      </w:r>
    </w:p>
    <w:p>
      <w:r>
        <w:rPr>
          <w:rFonts w:ascii="等线(中文正文)" w:hAnsi="等线(中文正文)" w:cs="等线(中文正文)" w:eastAsia="等线(中文正文)"/>
          <w:b w:val="false"/>
          <w:i w:val="false"/>
          <w:sz w:val="20"/>
        </w:rPr>
        <w:t>发言人1 答：铜作为有色金属中资源属性最强的品种，其供应增速较低且供应端扰动大，价格维持高位周期较长。尽管冶炼端受到硫磺涨价影响，但铜矿资源属性依然强劲，新增供应不及预期。在AI路径下，铜的需求增量有望在2030年提升至5%，这将对铜价形成支撑，我们认为铜是一个逢低买入、价格中枢上行的长牛品种。</w:t>
      </w:r>
    </w:p>
    <w:p>
      <w:r>
        <w:rPr>
          <w:rFonts w:ascii="等线(中文正文)" w:hAnsi="等线(中文正文)" w:cs="等线(中文正文)" w:eastAsia="等线(中文正文)"/>
          <w:b w:val="false"/>
          <w:i w:val="false"/>
          <w:sz w:val="20"/>
        </w:rPr>
        <w:t/>
      </w:r>
    </w:p>
    <w:p>
      <w:pPr>
        <w:pStyle w:val="ab"/>
      </w:pPr>
      <w:r>
        <w:t>发言人1 问：美国对中国的铜关税问题会对铜价产生何种影响？</w:t>
      </w:r>
    </w:p>
    <w:p>
      <w:r>
        <w:rPr>
          <w:rFonts w:ascii="等线(中文正文)" w:hAnsi="等线(中文正文)" w:cs="等线(中文正文)" w:eastAsia="等线(中文正文)"/>
          <w:b w:val="false"/>
          <w:i w:val="false"/>
          <w:sz w:val="20"/>
        </w:rPr>
        <w:t>发言人1 答：目前美国商务部长已建议对华征收15%的关税，但尚未得到批复。即使最终征收，也会存在看涨效益，对铜价形成中性偏好。此外，目前全球铜囤积需求接近全球供应的2.5%，也会对价格产生一定影响。</w:t>
      </w:r>
    </w:p>
    <w:p>
      <w:r>
        <w:rPr>
          <w:rFonts w:ascii="等线(中文正文)" w:hAnsi="等线(中文正文)" w:cs="等线(中文正文)" w:eastAsia="等线(中文正文)"/>
          <w:b w:val="false"/>
          <w:i w:val="false"/>
          <w:sz w:val="20"/>
        </w:rPr>
        <w:t/>
      </w:r>
    </w:p>
    <w:p>
      <w:pPr>
        <w:pStyle w:val="ab"/>
      </w:pPr>
      <w:r>
        <w:t>发言人1 问：对于电解铝市场，您的观点是什么？</w:t>
      </w:r>
    </w:p>
    <w:p>
      <w:r>
        <w:rPr>
          <w:rFonts w:ascii="等线(中文正文)" w:hAnsi="等线(中文正文)" w:cs="等线(中文正文)" w:eastAsia="等线(中文正文)"/>
          <w:b w:val="false"/>
          <w:i w:val="false"/>
          <w:sz w:val="20"/>
        </w:rPr>
        <w:t>发言人1 答：国内电解铝产能已达上限，产量已达历史高点，这意味着从2026年开始，供应天花板将真正限制生产。海外供应受制于基建条件差、配套建设滞后等因素，投产具有较大不确定性，这使得电解铝市场呈现出弹性与红利融合的特点。</w:t>
      </w:r>
    </w:p>
    <w:p>
      <w:r>
        <w:rPr>
          <w:rFonts w:ascii="等线(中文正文)" w:hAnsi="等线(中文正文)" w:cs="等线(中文正文)" w:eastAsia="等线(中文正文)"/>
          <w:b w:val="false"/>
          <w:i w:val="false"/>
          <w:sz w:val="20"/>
        </w:rPr>
        <w:t/>
      </w:r>
    </w:p>
    <w:p>
      <w:pPr>
        <w:pStyle w:val="ab"/>
      </w:pPr>
      <w:r>
        <w:t>发言人1 问：在印尼建设过程中，电力供应紧缺对电解铝项目有何影响？海外电解铝产量减少的原因及当前情况如何？</w:t>
      </w:r>
    </w:p>
    <w:p>
      <w:r>
        <w:rPr>
          <w:rFonts w:ascii="等线(中文正文)" w:hAnsi="等线(中文正文)" w:cs="等线(中文正文)" w:eastAsia="等线(中文正文)"/>
          <w:b w:val="false"/>
          <w:i w:val="false"/>
          <w:sz w:val="20"/>
        </w:rPr>
        <w:t>发言人1 答：电力供应增速较慢，进一步制约了规划的电解铝项目投产进程。尽管如此，从长远规划看，预计在26年、27年和28年，海外新增电解铝产能分别为约277万吨和400万吨的量级。根据阿拉丁的数据，今年海外电解铝产量缩减约在100万吨量级。同时，中东地区出现减产情况，而铝的需求方面表现出新旧消费相互对冲和补位的现象，其中建筑地产已由之前的主导地位被交运取代，并且交运与电力领域的合计占比已达44%。</w:t>
      </w:r>
    </w:p>
    <w:p>
      <w:r>
        <w:rPr>
          <w:rFonts w:ascii="等线(中文正文)" w:hAnsi="等线(中文正文)" w:cs="等线(中文正文)" w:eastAsia="等线(中文正文)"/>
          <w:b w:val="false"/>
          <w:i w:val="false"/>
          <w:sz w:val="20"/>
        </w:rPr>
        <w:t/>
      </w:r>
    </w:p>
    <w:p>
      <w:pPr>
        <w:pStyle w:val="ab"/>
      </w:pPr>
      <w:r>
        <w:t>发言人1 问：电解铝的主要应用领域及其变化是怎样的？</w:t>
      </w:r>
    </w:p>
    <w:p>
      <w:r>
        <w:rPr>
          <w:rFonts w:ascii="等线(中文正文)" w:hAnsi="等线(中文正文)" w:cs="等线(中文正文)" w:eastAsia="等线(中文正文)"/>
          <w:b w:val="false"/>
          <w:i w:val="false"/>
          <w:sz w:val="20"/>
        </w:rPr>
        <w:t>发言人1 答：电解铝主要应用于建筑地产、交运、电力、消费品和机械等行业。其中，交运领域已取代地产成为最大下游，占到25%的市场份额，加上成长性较高的电力领域，两者合计占比达到44%。</w:t>
      </w:r>
    </w:p>
    <w:p>
      <w:r>
        <w:rPr>
          <w:rFonts w:ascii="等线(中文正文)" w:hAnsi="等线(中文正文)" w:cs="等线(中文正文)" w:eastAsia="等线(中文正文)"/>
          <w:b w:val="false"/>
          <w:i w:val="false"/>
          <w:sz w:val="20"/>
        </w:rPr>
        <w:t/>
      </w:r>
    </w:p>
    <w:p>
      <w:pPr>
        <w:pStyle w:val="ab"/>
      </w:pPr>
      <w:r>
        <w:t>发言人1 问：铝的需求结构优化和多元化体现在哪些方面？对于电解铝盈利情况的判断是什么？</w:t>
      </w:r>
    </w:p>
    <w:p>
      <w:r>
        <w:rPr>
          <w:rFonts w:ascii="等线(中文正文)" w:hAnsi="等线(中文正文)" w:cs="等线(中文正文)" w:eastAsia="等线(中文正文)"/>
          <w:b w:val="false"/>
          <w:i w:val="false"/>
          <w:sz w:val="20"/>
        </w:rPr>
        <w:t>发言人1 答：铝的需求结构持续优化，多元化消费结构为需求提供了韧性。储能装机、电池壳体、液冷板等新兴应用领域对铝的需求增长明显，如果按照30年装机量计算，在400至690瓦时范围内，铝的增量需求可达40万吨以上。预计电解铝将在一个时期内维持中高位盈利格局。考虑到国内电解铝产量天花板以及全球供应增量有限，而需求多元化改善供需状况，中枢价格有望保持波动率收敛状态。成本端三大核心成本项（氧化铝、电力、预备阳极等）不具备大幅提升条件，因此当前行业的高盈利水平有望持续。</w:t>
      </w:r>
    </w:p>
    <w:p>
      <w:r>
        <w:rPr>
          <w:rFonts w:ascii="等线(中文正文)" w:hAnsi="等线(中文正文)" w:cs="等线(中文正文)" w:eastAsia="等线(中文正文)"/>
          <w:b w:val="false"/>
          <w:i w:val="false"/>
          <w:sz w:val="20"/>
        </w:rPr>
        <w:t/>
      </w:r>
    </w:p>
    <w:p>
      <w:pPr>
        <w:pStyle w:val="ab"/>
      </w:pPr>
      <w:r>
        <w:t>发言人1 问：电解铝板块的投资价值如何变化？</w:t>
      </w:r>
    </w:p>
    <w:p>
      <w:r>
        <w:rPr>
          <w:rFonts w:ascii="等线(中文正文)" w:hAnsi="等线(中文正文)" w:cs="等线(中文正文)" w:eastAsia="等线(中文正文)"/>
          <w:b w:val="false"/>
          <w:i w:val="false"/>
          <w:sz w:val="20"/>
        </w:rPr>
        <w:t>发言人1 答：过去，电解铝板块被认为是与铝价高度联动的传统强周期资产。随着产能上线和供给格局变化，电解铝产业正逐渐从强周期品转变为具有价格弹性变化且受益于分红支撑的优质资产。</w:t>
      </w:r>
    </w:p>
    <w:p>
      <w:r>
        <w:rPr>
          <w:rFonts w:ascii="等线(中文正文)" w:hAnsi="等线(中文正文)" w:cs="等线(中文正文)" w:eastAsia="等线(中文正文)"/>
          <w:b w:val="false"/>
          <w:i w:val="false"/>
          <w:sz w:val="20"/>
        </w:rPr>
        <w:t/>
      </w:r>
    </w:p>
    <w:p>
      <w:pPr>
        <w:pStyle w:val="ab"/>
      </w:pPr>
      <w:r>
        <w:t>发言人1 问：稀土产业现状及未来展望如何？</w:t>
      </w:r>
    </w:p>
    <w:p>
      <w:r>
        <w:rPr>
          <w:rFonts w:ascii="等线(中文正文)" w:hAnsi="等线(中文正文)" w:cs="等线(中文正文)" w:eastAsia="等线(中文正文)"/>
          <w:b w:val="false"/>
          <w:i w:val="false"/>
          <w:sz w:val="20"/>
        </w:rPr>
        <w:t>发言人1 答：稀土产业正经历产业结构重塑和价格重塑阶段，资源端中重稀土价值凸显，产业端分离环节占据重要地位。中国在稀土储量、供应量和分离产量上具有较大优势。目前，稀土行业正从矿端管理转向分离厂管理，供给侧优化进入2.0时代，未来还有进一步的供应端和废料回收优化空间。随着时代发展，万物电驱趋势下，稀土永磁需求将逐步上行，尤其在AI、机器人等领域有广阔应用前景，中长期供需状况偏紧，价格有望维持高位并迎来政策和价格重估过程。</w:t>
      </w:r>
    </w:p>
    <w:p>
      <w:r>
        <w:rPr>
          <w:rFonts w:ascii="等线(中文正文)" w:hAnsi="等线(中文正文)" w:cs="等线(中文正文)" w:eastAsia="等线(中文正文)"/>
          <w:b w:val="false"/>
          <w:i w:val="false"/>
          <w:sz w:val="20"/>
        </w:rPr>
        <w:t/>
      </w:r>
    </w:p>
    <w:p>
      <w:pPr>
        <w:pStyle w:val="ab"/>
      </w:pPr>
      <w:r>
        <w:t>发言人1 问：稀土行业的盈利改善主要体现在哪些方面？</w:t>
      </w:r>
    </w:p>
    <w:p>
      <w:r>
        <w:rPr>
          <w:rFonts w:ascii="等线(中文正文)" w:hAnsi="等线(中文正文)" w:cs="等线(中文正文)" w:eastAsia="等线(中文正文)"/>
          <w:b w:val="false"/>
          <w:i w:val="false"/>
          <w:sz w:val="20"/>
        </w:rPr>
        <w:t>发言人1 答：稀土行业的盈利改善主要体现在轻稀土价格中枢上移，中重稀土价格回归正常水平并带动整个行业的盈利提升。此外，分离端格局优化，如牌照生意的体现，也进一步推动了整个稀土行业的盈利状况好转。</w:t>
      </w:r>
    </w:p>
    <w:p>
      <w:r>
        <w:rPr>
          <w:rFonts w:ascii="等线(中文正文)" w:hAnsi="等线(中文正文)" w:cs="等线(中文正文)" w:eastAsia="等线(中文正文)"/>
          <w:b w:val="false"/>
          <w:i w:val="false"/>
          <w:sz w:val="20"/>
        </w:rPr>
        <w:t/>
      </w:r>
    </w:p>
    <w:p>
      <w:pPr>
        <w:pStyle w:val="ab"/>
      </w:pPr>
      <w:r>
        <w:t>发言人1 问：对于钨行业来说，其价格和利润分配有何变化趋势？</w:t>
      </w:r>
    </w:p>
    <w:p>
      <w:r>
        <w:rPr>
          <w:rFonts w:ascii="等线(中文正文)" w:hAnsi="等线(中文正文)" w:cs="等线(中文正文)" w:eastAsia="等线(中文正文)"/>
          <w:b w:val="false"/>
          <w:i w:val="false"/>
          <w:sz w:val="20"/>
        </w:rPr>
        <w:t>发言人1 答：屋（即钨）的价格在经历微笑曲线阶段后，中游价格开始重估，尤其是国内高精度钨粉的国产替代进程中，中游有望受益于国产替代环节，并可能逐渐获得利润分配的更多倾斜。目前，屋产业周期类似于稀土产业周期早期，政策端和产业端优化的基础已经具备。</w:t>
      </w:r>
    </w:p>
    <w:p>
      <w:r>
        <w:rPr>
          <w:rFonts w:ascii="等线(中文正文)" w:hAnsi="等线(中文正文)" w:cs="等线(中文正文)" w:eastAsia="等线(中文正文)"/>
          <w:b w:val="false"/>
          <w:i w:val="false"/>
          <w:sz w:val="20"/>
        </w:rPr>
        <w:t/>
      </w:r>
    </w:p>
    <w:p>
      <w:pPr>
        <w:pStyle w:val="ab"/>
      </w:pPr>
      <w:r>
        <w:t>发言人1 问：当前物价走势如何，以及对中国拥有资源端优势的品种有何看法？</w:t>
      </w:r>
    </w:p>
    <w:p>
      <w:r>
        <w:rPr>
          <w:rFonts w:ascii="等线(中文正文)" w:hAnsi="等线(中文正文)" w:cs="等线(中文正文)" w:eastAsia="等线(中文正文)"/>
          <w:b w:val="false"/>
          <w:i w:val="false"/>
          <w:sz w:val="20"/>
        </w:rPr>
        <w:t>发言人1 答：当前物价出现大幅上行，底部逐渐稳固在40万左右的中枢水平，后续价格有望实现中枢提升。中国在屋资源端占据50%储量和接近80%产量的份额，是一个具有强国家影响力的品种，供应端存在配额大幅收紧的影响。同时，新的应用领域对需求结构重塑，叠加供给端收紧，使得整个屋的中长期产业持续优化，上市公司盈利能力也在不断改善。</w:t>
      </w:r>
    </w:p>
    <w:p>
      <w:r>
        <w:rPr>
          <w:rFonts w:ascii="等线(中文正文)" w:hAnsi="等线(中文正文)" w:cs="等线(中文正文)" w:eastAsia="等线(中文正文)"/>
          <w:b w:val="false"/>
          <w:i w:val="false"/>
          <w:sz w:val="20"/>
        </w:rPr>
        <w:t/>
      </w:r>
    </w:p>
    <w:p>
      <w:pPr>
        <w:pStyle w:val="ab"/>
      </w:pPr>
      <w:r>
        <w:t>发言人1 问：小金属如阴极铜、钽等在当前时代背景下有何行情展望？</w:t>
      </w:r>
    </w:p>
    <w:p>
      <w:r>
        <w:rPr>
          <w:rFonts w:ascii="等线(中文正文)" w:hAnsi="等线(中文正文)" w:cs="等线(中文正文)" w:eastAsia="等线(中文正文)"/>
          <w:b w:val="false"/>
          <w:i w:val="false"/>
          <w:sz w:val="20"/>
        </w:rPr>
        <w:t>发言人1 答：小金属如阴极铜、钽等，由于供需关系较为刚性且下游需求受AI产能催化，供需失衡容易被打破，因此这些核心小金属品类将迎来源源不断的行情。此外，新能源金属锂也是关注焦点，其供应格局和需求格局均发生了结构性变化，储能已成为锂下游需求的重要增量，且整个产业链利润分布趋于合理，资源端的价值得到更多体现。</w:t>
      </w:r>
    </w:p>
    <w:p>
      <w:r>
        <w:rPr>
          <w:rFonts w:ascii="等线(中文正文)" w:hAnsi="等线(中文正文)" w:cs="等线(中文正文)" w:eastAsia="等线(中文正文)"/>
          <w:b w:val="false"/>
          <w:i w:val="false"/>
          <w:sz w:val="20"/>
        </w:rPr>
        <w:t/>
      </w:r>
    </w:p>
    <w:p>
      <w:pPr>
        <w:pStyle w:val="ab"/>
      </w:pPr>
      <w:r>
        <w:t>发言人1 问：锂产业现状及未来展望如何？</w:t>
      </w:r>
    </w:p>
    <w:p>
      <w:r>
        <w:rPr>
          <w:rFonts w:ascii="等线(中文正文)" w:hAnsi="等线(中文正文)" w:cs="等线(中文正文)" w:eastAsia="等线(中文正文)"/>
          <w:b w:val="false"/>
          <w:i w:val="false"/>
          <w:sz w:val="20"/>
        </w:rPr>
        <w:t>发言人1 答：本轮周期中，锂板块供应商多元化趋势明显，国内矿和非洲矿成为重要增长支撑。储能成为锂下游需求快速增长的关键增量，维持50%以上增速。产业链中，过去三年利润集中在下游电池环节，但随着产业政策调整，资源端价值重估趋势明显。下半年开始，碳酸锂价格有望维持高位，产业链利润分配趋于合理，且随着资源民族主义事件的发生，单吨锂资源价格及资本开支成本上升，预示着锂的中长期价格底部已较为清晰。</w:t>
      </w:r>
    </w:p>
    <w:p>
      <w:r>
        <w:rPr>
          <w:rFonts w:ascii="等线(中文正文)" w:hAnsi="等线(中文正文)" w:cs="等线(中文正文)" w:eastAsia="等线(中文正文)"/>
          <w:b w:val="false"/>
          <w:i w:val="false"/>
          <w:sz w:val="20"/>
        </w:rPr>
        <w:t/>
      </w:r>
    </w:p>
    <w:p>
      <w:pPr>
        <w:pStyle w:val="ab"/>
      </w:pPr>
      <w:r>
        <w:t>发言人1 问：锡金属的价格走势及其对未来展望是怎样的？</w:t>
      </w:r>
    </w:p>
    <w:p>
      <w:r>
        <w:rPr>
          <w:rFonts w:ascii="等线(中文正文)" w:hAnsi="等线(中文正文)" w:cs="等线(中文正文)" w:eastAsia="等线(中文正文)"/>
          <w:b w:val="false"/>
          <w:i w:val="false"/>
          <w:sz w:val="20"/>
        </w:rPr>
        <w:t>发言人1 答：锡金属具有较强资源属性和高度集中的供应情况，AI等新兴领域对其需求前景看好，尤其是服务器耗电量大幅度增加，使得算力硬件对锡的需求量显著提升。当前，锡的供应非常脆弱且紧缺，新的应用领域带动边际定价较强，预计锡价将大幅抬升。</w:t>
      </w:r>
    </w:p>
    <w:p>
      <w:r>
        <w:rPr>
          <w:rFonts w:ascii="等线(中文正文)" w:hAnsi="等线(中文正文)" w:cs="等线(中文正文)" w:eastAsia="等线(中文正文)"/>
          <w:b w:val="false"/>
          <w:i w:val="false"/>
          <w:sz w:val="20"/>
        </w:rPr>
        <w:t/>
      </w:r>
    </w:p>
    <w:p>
      <w:pPr>
        <w:pStyle w:val="ab"/>
      </w:pPr>
      <w:r>
        <w:t>发言人1 问：在AI算力引领下，材料变革的主要需求是什么？</w:t>
      </w:r>
    </w:p>
    <w:p>
      <w:r>
        <w:rPr>
          <w:rFonts w:ascii="等线(中文正文)" w:hAnsi="等线(中文正文)" w:cs="等线(中文正文)" w:eastAsia="等线(中文正文)"/>
          <w:b w:val="false"/>
          <w:i w:val="false"/>
          <w:sz w:val="20"/>
        </w:rPr>
        <w:t>发言人1 答：在AI算力的引领下，材料变革主要需求体现在高频、高功率和高散热三个方面。随着GPU和CPU等新品功耗不断增加，以及云巨头自研ASIC芯片产能的崛起，对计算芯片性能的要求不断提升，这也要求材料必须跟上这种高算力和高功率的需求变化。</w:t>
      </w:r>
    </w:p>
    <w:p>
      <w:r>
        <w:rPr>
          <w:rFonts w:ascii="等线(中文正文)" w:hAnsi="等线(中文正文)" w:cs="等线(中文正文)" w:eastAsia="等线(中文正文)"/>
          <w:b w:val="false"/>
          <w:i w:val="false"/>
          <w:sz w:val="20"/>
        </w:rPr>
        <w:t/>
      </w:r>
    </w:p>
    <w:p>
      <w:pPr>
        <w:pStyle w:val="ab"/>
      </w:pPr>
      <w:r>
        <w:t>发言人1 问：AI算力增长对芯片电感领域产生了什么影响？</w:t>
      </w:r>
    </w:p>
    <w:p>
      <w:r>
        <w:rPr>
          <w:rFonts w:ascii="等线(中文正文)" w:hAnsi="等线(中文正文)" w:cs="等线(中文正文)" w:eastAsia="等线(中文正文)"/>
          <w:b w:val="false"/>
          <w:i w:val="false"/>
          <w:sz w:val="20"/>
        </w:rPr>
        <w:t>发言人1 答：AI算力增长导致芯片电感领域迎来中长期机遇。尤其是对于能够实现小型化和耐大电流的金属软磁芯片电感，其在AI服务器等应用中的需求预计将在2026年迎来转折点，并在新一代AI芯片中逐步推广和应用。此外，AI算力下沉至PC和手机等低功率应用场景，进一步推动了高性能芯片电感的需求增长。</w:t>
      </w:r>
    </w:p>
    <w:p>
      <w:r>
        <w:rPr>
          <w:rFonts w:ascii="等线(中文正文)" w:hAnsi="等线(中文正文)" w:cs="等线(中文正文)" w:eastAsia="等线(中文正文)"/>
          <w:b w:val="false"/>
          <w:i w:val="false"/>
          <w:sz w:val="20"/>
        </w:rPr>
        <w:t/>
      </w:r>
    </w:p>
    <w:p>
      <w:pPr>
        <w:pStyle w:val="ab"/>
      </w:pPr>
      <w:r>
        <w:t>发言人1 问：AI服务器的发展如何影响MLCC市场？</w:t>
      </w:r>
    </w:p>
    <w:p>
      <w:r>
        <w:rPr>
          <w:rFonts w:ascii="等线(中文正文)" w:hAnsi="等线(中文正文)" w:cs="等线(中文正文)" w:eastAsia="等线(中文正文)"/>
          <w:b w:val="false"/>
          <w:i w:val="false"/>
          <w:sz w:val="20"/>
        </w:rPr>
        <w:t>发言人1 答：AI服务器需求的快速增长极大地受益于高容MLCC的需求增长。预计到2025年MLCC需求将达到六百多亿颗，而到2028年可能增至近1600亿颗，复合增速接近40%。这将为MLCC上游粉底材料以及核心的镍粉、介质粉体材料、离型膜等提供广阔的发展空间。</w:t>
      </w:r>
    </w:p>
    <w:p>
      <w:r>
        <w:rPr>
          <w:rFonts w:ascii="等线(中文正文)" w:hAnsi="等线(中文正文)" w:cs="等线(中文正文)" w:eastAsia="等线(中文正文)"/>
          <w:b w:val="false"/>
          <w:i w:val="false"/>
          <w:sz w:val="20"/>
        </w:rPr>
        <w:t/>
      </w:r>
    </w:p>
    <w:p>
      <w:pPr>
        <w:pStyle w:val="ab"/>
      </w:pPr>
      <w:r>
        <w:t>发言人1 问：纳米金在SST（固态变压器）中的应用优势是什么？</w:t>
      </w:r>
    </w:p>
    <w:p>
      <w:r>
        <w:rPr>
          <w:rFonts w:ascii="等线(中文正文)" w:hAnsi="等线(中文正文)" w:cs="等线(中文正文)" w:eastAsia="等线(中文正文)"/>
          <w:b w:val="false"/>
          <w:i w:val="false"/>
          <w:sz w:val="20"/>
        </w:rPr>
        <w:t>发言人1 答：纳米金在SST中的应用优势在于其高磁感、低损耗特性，能够完美匹配大功率数据中心对高效电磁能量转换的需求。相比传统的铁氧体材料，纳米金能在同等功率下大幅缩减体积重量，降低发热，提高整机转换效率，显著减少数据中心散热压力。同时，纳米金供应链壁垒高，工艺精度要求严苛，且定制化程度高，面对复杂电压组合和拓扑结构时需深度定制纳米金铁芯参数，这些都构成了其竞争优势。目前，国内企业在纳米金市场占据主导地位，随着技术突破和国产替代进程的推进，相关公司有望受益于这一领域的快速发展。</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2026-08-16T01:55:37Z</dcterms:created>
  <dc:creator>Apache POI</dc:creator>
</cp:coreProperties>
</file>