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pPr>
        <w:pStyle w:val="ac"/>
      </w:pPr>
      <w:r>
        <w:t>方正焦娟 _ 十三讲：阿里：AI的逻辑清晰 260815_导读</w:t>
      </w:r>
    </w:p>
    <w:p>
      <w:pPr>
        <w:pStyle w:val="a0"/>
        <w:jc w:val="center"/>
      </w:pPr>
      <w:r>
        <w:t>2026年08月16日 09:52</w:t>
      </w:r>
    </w:p>
    <w:p>
      <w:pPr>
        <w:pStyle w:val="a7"/>
      </w:pPr>
      <w:r>
        <w:t>关键词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 xml:space="preserve">内循环 存量博弈 AR 腾讯 阿里 AI to b to c 办公市场 云智能集团 钉钉 飞书 高德 饿了么 盒马 外卖大战 竞争加剧 AI应用 实体经济 战略信息度 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全文摘要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本次会议由方正证券组织，仅面向特定专业投资机构客户和受邀客户，强调发言仅代表个人观点，不构成投资建议，且禁止交流敏感内幕信息。会议指出，依据监管规定，未经方正证券事先书面许可，任何人不得对会议内容进行录音、制作纪要、转发、转载、传播、复制、编辑或修改。演讲内容聚焦于腾讯和阿里在互联网行业的背景与现状，强调了国内互联网公司与海外公司在市场布局上的差异，特别指出“内循环”在国内的重要性。讨论了AR技术的应用前景及大模型在办公与消费者市场的发展，同时分析了阿里云与腾讯在AI技术上的进展及市场竞争力。此外，演讲还提到了政策和监管对行业的影响，总结了阿里和腾讯面临的挑战与机遇，强调竞争加剧和政策波动为主要风险，并展望了未来发展方向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章节速览</w:t>
      </w:r>
    </w:p>
    <w:p>
      <w:pPr>
        <w:pStyle w:val="ab"/>
        <w:numPr>
          <w:numId w:val="1"/>
        </w:numPr>
      </w:pPr>
      <w:r>
        <w:t>00:00 互联网巨头内循环混战与AI布局分析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会议声明中强调信息仅供专业投资机构参考，不构成投资建议。随后讨论指出，国内互联网公司借助AI在内循环市场中竞争，与海外布局全球市场形成对比，强调了内循环及市场争夺的重要性。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2"/>
        </w:numPr>
      </w:pPr>
      <w:r>
        <w:t>01:37 国内AR与大模型在2025年的发展与探索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讨论了国内AR技术早期发力及其在2025年11月后的发展，强调大模型用于拍题解题而非单纯问问题的重要性，DAU达到12.5亿。提及2026年龙虾大战后tok s消耗持续上行，超出预期。办公市场，如钉钉、飞书和work body，已成功探索，表明to b方向办公市场的重要性。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3"/>
        </w:numPr>
      </w:pPr>
      <w:r>
        <w:t>03:15 互联网巨头在存量市场中的竞争与变现策略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讨论了互联网巨头如何在有限的存量市场中通过AR入口等新方式获取流量，并依靠各自的产品矩阵和AI工具进行运营和变现。由于市场内循环和存量博弈的特性，增量有限，导致竞争加剧，部分企业可能受损。以酒店预订为例，不同平台通过提供代金券等方式吸引用户，最终利用自家平台承接流量实现变现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4"/>
        </w:numPr>
      </w:pPr>
      <w:r>
        <w:t>05:28 AI时代互联网巨头的稳固与存量博弈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强调了在AI变革中，消费端互联网巨头如腾讯和阿里将更加稳固其变现帝国，得益于AI在货币转化率和营销行业的应用。尽管存在存量博弈的底色，但这些巨头在成熟的业务领域，如腾讯的营销和阿里云，展现出了强劲的盈利能力。同时，对话也指出to b方向的挑战，尤其是阿里云的亏损，但整体趋势向好。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5"/>
        </w:numPr>
      </w:pPr>
      <w:r>
        <w:t>07:32 AI时代互联网业务估值与竞争分析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讨论了互联网移动互联网时代成熟业务的估值方法，强调AI方向下To B与To C业务的差异，指出阿里在AR技术与基础设施建设上的优势，以及其在办公市场和To C业务中的竞争态势，预测未来几年内阿里云与火山引擎的竞争格局及阿里在AI新业务上的布局策略。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6"/>
        </w:numPr>
      </w:pPr>
      <w:r>
        <w:t>12:15 阿里云增长与AI应用前景分析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讨论了阿里云通过自研芯片和百联平台提升利润率，保持高速增长的重要性，以及其在AI应用与实体经济深度融合方面的独特优势。同时，分析了阿里与腾讯比较的意义，以及未来财年阿里云业绩和现金流的预期拐点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7"/>
        </w:numPr>
      </w:pPr>
      <w:r>
        <w:t>15:19 阿里集团的风险分析与未来展望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深入探讨了阿里集团面临的两大风险：一是电商领域的竞争加剧，尤其是来自字节跳动等企业的挑战；二是政策与监管的不确定性。同时，会议指出阿里在AI领域的稳健表现和出海战略的优势，以及AR产品的发展潜力。整体来看，阿里当前战略信息度、执行力和二级市场认可度均表现良好，未来需关注综合因素对28年的影响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发言总结</w:t>
      </w:r>
    </w:p>
    <w:p>
      <w:pPr>
        <w:pStyle w:val="ab"/>
        <w:numPr>
          <w:numId w:val="8"/>
        </w:numPr>
      </w:pPr>
      <w:r>
        <w:t>发言人1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他首先强调了会议的基本规则和注意事项，包括信息分享的限制和法律责任。随后，深入分析了中国互联网市场的竞争格局，特别指出内循环策略的重要性以及互联网巨头在AI技术应用上的激烈竞争，特别是阿里和腾讯的策略及未来展望。他认为，尽管市场竞争加剧，阿里和腾讯凭借其在消费端的强大变现能力和丰富的产品矩阵，有望在AI时代保持竞争优势。此外，还提到了阿里的云智能集团和腾讯的出海战略，同时警告政策和竞争作为两大潜在风险。最后，他呼吁与会者关注公司业绩和政策动态，以获得更深入的市场理解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问答回顾</w:t>
      </w:r>
    </w:p>
    <w:p>
      <w:pPr>
        <w:pStyle w:val="ab"/>
      </w:pPr>
      <w:r>
        <w:t>发言人1 问：在本次会议上，信息或观点是否构成投资建议？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答：所有信息或观点不构成投资建议。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问：国内与海外互联网公司有何不同之处？国内AR公司在发展过程中有什么重要发现吗？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答：国内的互联网公司侧重于内循环和国内市场，而海外的互联网公司则是全球市场布局。发现大模型在国内的应用场景并非仅限于问答问题，当用于拍题解题、完成各种功能时，DAU可达12.5亿。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问：龙虾大战后有哪些意外情况发生？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答：龙虾大战后，抖音的消耗持续上行，超出市场预期。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问：办公市场在AR领域的探索取得了什么成果？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答：办公市场如钉钉、飞书以及work body等已成功走通，这是to b方向的重要突破。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问：to c领域中，各家互联网公司的策略如何？在内循环和存量博弈下，谁可能受损？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答：to c领域中，各家互联网公司通过新AR入口抢夺流量后，如何运营和变现成为了各自的核心能力，形成了存量博弈的局面。在内循环和存量博弈中，很可能有某家互联网公司在受损，而各家在抢夺流量后的变现策略将决定其能否在这个过程中获利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问：阿里和腾讯在AR变革中的地位如何？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答：阿里和腾讯作为消费端互联网巨头，在AR时代相对稳固，他们的变现能力和AI在营销行业的收入增速及毛利率都表现出色。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问：对于阿里和腾讯的估值应如何考虑？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答：应当关注阿里和腾讯在移动互联网时代形成的成熟业务，并根据当下情况进行分布估值。同时，AI应用的发展将对整体估值产生影响。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问：在to b和to c市场中，阿里在哪些方面表现突出，有哪些竞争对手？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答：在to b办公市场，阿里通过阿里云拥有明显的先发优势和强大的用户数增速，其主打产品在市场中表现优秀。在to c市场，阿里同样具有优势，体现在它拥有众多与实体服务商品高度相关的业务，如高德、饿了么、盒马等，这些业务为AI应用提供了真实场景和广阔的发展空间。阿里云作为阿里的重要组成部分，不仅支撑了办公市场的发展，也展现了强劲的增长势头和盈利能力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问：阿里云在盈利和现金流回正方面的情况如何？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答：阿里云在2829财年已达成一些关键指标，如盈利或现金流回正，并有望在该财年末实现扭亏为盈的目标。只要云智能集团保持亮丽表现，阿里整体经营状况将相对稳定。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问：阿里在AI时代的主要战略方向和布局是什么？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答：阿里在AI时代的主要战略是围绕内循环存量博弈，稳固阿里云作为基本盘和压舱石的角色，并持续推动云智能集团的增长，保持强劲的季度增长势头和利润率提升。同时，关注to b市场中办公以外的其他细分市场的发展，并积极探索to c市场的商业化路径。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问：阿里面临的竞争和政策监管风险有哪些？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阿里面临的风险主要包括两个方面：一是来自其他企业的竞争加剧，尤其是在电商领域的业务争夺；二是政策和监管的变化带来的潜在影响。尽管阿里在战略执行力、二级市场的认可度等方面表现出色，但依然需要关注市场竞争动态和政策导向变化带来的不确定性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w="http://schemas.openxmlformats.org/wordprocessingml/2006/main"/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139B0"/>
    <w:pPr>
      <w:widowControl w:val="0"/>
      <w:spacing w:line="360" w:lineRule="auto"/>
      <w:jc w:val="both"/>
    </w:pPr>
    <w:rPr>
      <w:color w:val="404040" w:themeColor="text1" w:themeTint="BF"/>
    </w:rPr>
  </w:style>
  <w:style w:type="paragraph" w:styleId="2">
    <w:name w:val="heading 2"/>
    <w:basedOn w:val="a0"/>
    <w:next w:val="a0"/>
    <w:link w:val="21"/>
    <w:uiPriority w:val="9"/>
    <w:unhideWhenUsed/>
    <w:qFormat/>
    <w:rsid w:val="006267B3"/>
    <w:pPr>
      <w:keepNext/>
      <w:keepLines/>
      <w:spacing w:before="260" w:after="260" w:line="416" w:lineRule="auto"/>
      <w:jc w:val="left"/>
      <w:outlineLvl w:val="1"/>
    </w:pPr>
    <w:rPr>
      <w:rFonts w:asciiTheme="majorHAnsi" w:hAnsiTheme="majorHAnsi" w:cstheme="majorBidi"/>
      <w:bCs/>
      <w:color w:val="27264D"/>
      <w:sz w:val="30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0"/>
    <w:link w:val="a5"/>
    <w:uiPriority w:val="10"/>
    <w:qFormat/>
    <w:rsid w:val="008E22A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1"/>
    <w:link w:val="a4"/>
    <w:uiPriority w:val="10"/>
    <w:rsid w:val="008E22A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1">
    <w:name w:val="标题 2 字符"/>
    <w:basedOn w:val="a1"/>
    <w:link w:val="2"/>
    <w:uiPriority w:val="9"/>
    <w:rsid w:val="006267B3"/>
    <w:rPr>
      <w:rFonts w:asciiTheme="majorHAnsi" w:eastAsia="微软雅黑" w:hAnsiTheme="majorHAnsi" w:cstheme="majorBidi"/>
      <w:bCs/>
      <w:color w:val="27264D"/>
      <w:sz w:val="30"/>
      <w:szCs w:val="32"/>
    </w:rPr>
  </w:style>
  <w:style w:type="character" w:styleId="a6">
    <w:name w:val="Strong"/>
    <w:basedOn w:val="a1"/>
    <w:uiPriority w:val="22"/>
    <w:qFormat/>
    <w:rsid w:val="006267B3"/>
    <w:rPr>
      <w:rFonts w:eastAsia="微软雅黑"/>
      <w:b/>
      <w:bCs/>
      <w:i w:val="0"/>
      <w:color w:val="27264D"/>
    </w:rPr>
  </w:style>
  <w:style w:type="paragraph" w:customStyle="1" w:styleId="a7">
    <w:name w:val="一级标题"/>
    <w:basedOn w:val="a8"/>
    <w:autoRedefine/>
    <w:qFormat/>
    <w:rsid w:val="00511359"/>
    <w:pPr>
      <w:jc w:val="left"/>
    </w:pPr>
    <w:rPr>
      <w:bCs w:val="0"/>
      <w:color w:val="000000" w:themeColor="text1"/>
      <w:sz w:val="30"/>
    </w:rPr>
  </w:style>
  <w:style w:type="paragraph" w:styleId="a8">
    <w:name w:val="Subtitle"/>
    <w:basedOn w:val="a0"/>
    <w:next w:val="a0"/>
    <w:link w:val="a9"/>
    <w:uiPriority w:val="11"/>
    <w:qFormat/>
    <w:rsid w:val="006267B3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9">
    <w:name w:val="副标题 字符"/>
    <w:basedOn w:val="a1"/>
    <w:link w:val="a8"/>
    <w:uiPriority w:val="11"/>
    <w:rsid w:val="006267B3"/>
    <w:rPr>
      <w:b/>
      <w:bCs/>
      <w:color w:val="474667"/>
      <w:kern w:val="28"/>
      <w:sz w:val="32"/>
      <w:szCs w:val="32"/>
    </w:rPr>
  </w:style>
  <w:style w:type="paragraph" w:customStyle="1" w:styleId="aa">
    <w:name w:val="标签"/>
    <w:basedOn w:val="ab"/>
    <w:qFormat/>
    <w:rsid w:val="00865510"/>
    <w:rPr>
      <w:szCs w:val="21"/>
    </w:rPr>
  </w:style>
  <w:style w:type="paragraph" w:customStyle="1" w:styleId="a">
    <w:name w:val="时间戳+章节"/>
    <w:basedOn w:val="a0"/>
    <w:qFormat/>
    <w:rsid w:val="00D86193"/>
    <w:pPr>
      <w:numPr>
        <w:numId w:val="17"/>
      </w:numPr>
    </w:pPr>
  </w:style>
  <w:style w:type="paragraph" w:customStyle="1" w:styleId="ac">
    <w:name w:val="大标题"/>
    <w:basedOn w:val="a4"/>
    <w:autoRedefine/>
    <w:qFormat/>
    <w:rsid w:val="00511359"/>
    <w:rPr>
      <w:rFonts w:asciiTheme="minorHAnsi" w:eastAsiaTheme="minorEastAsia" w:hAnsiTheme="minorHAnsi"/>
      <w:color w:val="000000" w:themeColor="text1"/>
      <w:sz w:val="36"/>
      <w:szCs w:val="36"/>
    </w:rPr>
  </w:style>
  <w:style w:type="paragraph" w:customStyle="1" w:styleId="ab">
    <w:name w:val="二级正文"/>
    <w:basedOn w:val="a0"/>
    <w:qFormat/>
    <w:rsid w:val="00F069C6"/>
    <w:rPr>
      <w:b/>
    </w:rPr>
  </w:style>
  <w:style w:type="numbering" w:customStyle="1" w:styleId="1">
    <w:name w:val="当前列表1"/>
    <w:uiPriority w:val="99"/>
    <w:rsid w:val="00C07DA3"/>
  </w:style>
  <w:style w:type="numbering" w:customStyle="1" w:styleId="22">
    <w:name w:val="当前列表2"/>
    <w:uiPriority w:val="99"/>
    <w:rsid w:val="00C07DA3"/>
  </w:style>
  <w:style w:type="numbering" w:customStyle="1" w:styleId="3">
    <w:name w:val="当前列表3"/>
    <w:uiPriority w:val="99"/>
    <w:rsid w:val="00C07DA3"/>
  </w:style>
  <w:style w:type="numbering" w:customStyle="1" w:styleId="4">
    <w:name w:val="当前列表4"/>
    <w:uiPriority w:val="99"/>
    <w:rsid w:val="00C07DA3"/>
  </w:style>
  <w:style w:type="numbering" w:customStyle="1" w:styleId="5">
    <w:name w:val="当前列表5"/>
    <w:uiPriority w:val="99"/>
    <w:rsid w:val="00C07DA3"/>
  </w:style>
  <w:style w:type="numbering" w:customStyle="1" w:styleId="6">
    <w:name w:val="当前列表6"/>
    <w:uiPriority w:val="99"/>
    <w:rsid w:val="00C07DA3"/>
  </w:style>
  <w:style w:type="numbering" w:customStyle="1" w:styleId="7">
    <w:name w:val="当前列表7"/>
    <w:uiPriority w:val="99"/>
    <w:rsid w:val="00C07DA3"/>
  </w:style>
  <w:style w:type="numbering" w:customStyle="1" w:styleId="8">
    <w:name w:val="当前列表8"/>
    <w:uiPriority w:val="99"/>
    <w:rsid w:val="00933C9B"/>
  </w:style>
  <w:style w:type="numbering" w:customStyle="1" w:styleId="9">
    <w:name w:val="当前列表9"/>
    <w:uiPriority w:val="99"/>
    <w:rsid w:val="00933C9B"/>
  </w:style>
  <w:style w:type="numbering" w:customStyle="1" w:styleId="10">
    <w:name w:val="当前列表10"/>
    <w:uiPriority w:val="99"/>
    <w:rsid w:val="00933C9B"/>
  </w:style>
  <w:style w:type="numbering" w:customStyle="1" w:styleId="11">
    <w:name w:val="当前列表11"/>
    <w:uiPriority w:val="99"/>
    <w:rsid w:val="00933C9B"/>
  </w:style>
  <w:style w:type="numbering" w:customStyle="1" w:styleId="12">
    <w:name w:val="当前列表12"/>
    <w:uiPriority w:val="99"/>
    <w:rsid w:val="00933C9B"/>
  </w:style>
  <w:style w:type="numbering" w:customStyle="1" w:styleId="13">
    <w:name w:val="当前列表13"/>
    <w:uiPriority w:val="99"/>
    <w:rsid w:val="00774E72"/>
  </w:style>
  <w:style w:type="numbering" w:customStyle="1" w:styleId="14">
    <w:name w:val="当前列表14"/>
    <w:uiPriority w:val="99"/>
    <w:rsid w:val="00774E72"/>
  </w:style>
  <w:style w:type="numbering" w:customStyle="1" w:styleId="15">
    <w:name w:val="当前列表15"/>
    <w:uiPriority w:val="99"/>
    <w:rsid w:val="00774E72"/>
  </w:style>
  <w:style w:type="numbering" w:customStyle="1" w:styleId="16">
    <w:name w:val="当前列表16"/>
    <w:uiPriority w:val="99"/>
    <w:rsid w:val="00774E72"/>
  </w:style>
  <w:style w:type="numbering" w:customStyle="1" w:styleId="17">
    <w:name w:val="当前列表17"/>
    <w:uiPriority w:val="99"/>
    <w:rsid w:val="00774E72"/>
  </w:style>
  <w:style w:type="numbering" w:customStyle="1" w:styleId="18">
    <w:name w:val="当前列表18"/>
    <w:uiPriority w:val="99"/>
    <w:rsid w:val="00774E72"/>
  </w:style>
  <w:style w:type="numbering" w:customStyle="1" w:styleId="19">
    <w:name w:val="当前列表19"/>
    <w:uiPriority w:val="99"/>
    <w:rsid w:val="00774E72"/>
  </w:style>
  <w:style w:type="numbering" w:customStyle="1" w:styleId="20">
    <w:name w:val="当前列表20"/>
    <w:uiPriority w:val="99"/>
    <w:rsid w:val="00865510"/>
    <w:pPr>
      <w:numPr>
        <w:numId w:val="44"/>
      </w:numPr>
    </w:pPr>
  </w:style>
</w:style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numbering.xml" Type="http://schemas.openxmlformats.org/officeDocument/2006/relationships/numbering"/><Relationship Id="rId3" Target="styles.xml" Type="http://schemas.openxmlformats.org/officeDocument/2006/relationships/style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2026-08-16T01:55:30Z</dcterms:created>
  <dc:creator>Apache POI</dc:creator>
</cp:coreProperties>
</file>