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大华股份（002236）2026半年报业绩说明会 260815_导读</w:t>
      </w:r>
    </w:p>
    <w:p>
      <w:pPr>
        <w:pStyle w:val="a0"/>
        <w:jc w:val="center"/>
      </w:pPr>
      <w:r>
        <w:t>2026年08月16日 09:52</w:t>
      </w:r>
    </w:p>
    <w:p>
      <w:pPr>
        <w:pStyle w:val="a7"/>
      </w:pPr>
      <w:r>
        <w:t>关键词</w:t>
      </w:r>
    </w:p>
    <w:p>
      <w:r>
        <w:rPr>
          <w:rFonts w:ascii="等线(中文正文)" w:hAnsi="等线(中文正文)" w:cs="等线(中文正文)" w:eastAsia="等线(中文正文)"/>
          <w:b w:val="false"/>
          <w:i w:val="false"/>
          <w:sz w:val="20"/>
        </w:rPr>
        <w:t xml:space="preserve">大华股份 智慧物联 营收 归母净利润 毛利率 AI大模型 海外业务 汇率影响 创新业务 精益管理 供应链 政府业务 企业业务 分销业务 技术迭代 回款效率 现金流入 战略备货 投资者回报 成本上涨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大华股份领导层在与投资者的交流中，概述了公司在AI大模型项目上的进展及财务表现。尽管上半年收入仅十亿，占比较小，但全年预计可达二三十亿，显示出业务复苏的积极态势。公司强调稳健发展，关注毛利率、利润和现金流的持续改善，承诺至少分配50%利润给投资者，反映对现金流重视及对股东的承诺。面对国内外经济挑战，通过全球本地化布局、技术创新和精益管理，公司实现了有质量的增长。特别聚焦于AI大模型产品在各业务领域的应用和增长，同时采取存货策略和成本控制以应对原材料价格上涨。领导团队重申了对高质量发展的承诺和对业务增长的乐观预期，表达了对投资者的感谢及创造长期价值的决心。</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大华股份2026年上半年经营情况及财务数据报告</w:t>
      </w:r>
    </w:p>
    <w:p>
      <w:r>
        <w:rPr>
          <w:rFonts w:ascii="等线(中文正文)" w:hAnsi="等线(中文正文)" w:cs="等线(中文正文)" w:eastAsia="等线(中文正文)"/>
          <w:b w:val="false"/>
          <w:i w:val="false"/>
          <w:sz w:val="20"/>
        </w:rPr>
        <w:t>在2026年上半年，面对国内外多重挑战，大华股份通过深化全球布局和技术创新，实现营收167.04亿元，同比增长10.03%。归母净利润为23.83亿元，同比下降3.74%，但扣非归母净利润增长8.26%。报告强调，若剔除子公司出售影响，公司实际增速显著，国内及海外业务营收增速均达18%左右，创新业务增速超30%。公司毛利率保持稳定，现金流健康，应收账款质量改善，存货规模增加以应对供应链波动，保障生产交付稳定。</w:t>
      </w:r>
    </w:p>
    <w:p>
      <w:r>
        <w:rPr>
          <w:rFonts w:ascii="等线(中文正文)" w:hAnsi="等线(中文正文)" w:cs="等线(中文正文)" w:eastAsia="等线(中文正文)"/>
          <w:b w:val="false"/>
          <w:i w:val="false"/>
          <w:sz w:val="20"/>
        </w:rPr>
        <w:t/>
      </w:r>
    </w:p>
    <w:p>
      <w:pPr>
        <w:pStyle w:val="ab"/>
        <w:numPr>
          <w:numId w:val="2"/>
        </w:numPr>
      </w:pPr>
      <w:r>
        <w:t>05:11 大华股份：AI赋能与全球布局下的稳健增长</w:t>
      </w:r>
    </w:p>
    <w:p>
      <w:r>
        <w:rPr>
          <w:rFonts w:ascii="等线(中文正文)" w:hAnsi="等线(中文正文)" w:cs="等线(中文正文)" w:eastAsia="等线(中文正文)"/>
          <w:b w:val="false"/>
          <w:i w:val="false"/>
          <w:sz w:val="20"/>
        </w:rPr>
        <w:t>公司通过AI赋能与场景深耕，实现营收86.28亿元，毛利率提升至38.96%。政府与企业业务分别增长24.82%和15.9%，分销与海外业务亦表现稳健。AI大模型业务营收增长150%，毛利率高达65%。大华股份在智慧物联领域持续创新，展现长期增长潜力。</w:t>
      </w:r>
    </w:p>
    <w:p>
      <w:r>
        <w:rPr>
          <w:rFonts w:ascii="等线(中文正文)" w:hAnsi="等线(中文正文)" w:cs="等线(中文正文)" w:eastAsia="等线(中文正文)"/>
          <w:b w:val="false"/>
          <w:i w:val="false"/>
          <w:sz w:val="20"/>
        </w:rPr>
        <w:t/>
      </w:r>
    </w:p>
    <w:p>
      <w:pPr>
        <w:pStyle w:val="ab"/>
        <w:numPr>
          <w:numId w:val="3"/>
        </w:numPr>
      </w:pPr>
      <w:r>
        <w:t>09:48 大华股份：技术与供应链驱动下的智慧物联新生态</w:t>
      </w:r>
    </w:p>
    <w:p>
      <w:r>
        <w:rPr>
          <w:rFonts w:ascii="等线(中文正文)" w:hAnsi="等线(中文正文)" w:cs="等线(中文正文)" w:eastAsia="等线(中文正文)"/>
          <w:b w:val="false"/>
          <w:i w:val="false"/>
          <w:sz w:val="20"/>
        </w:rPr>
        <w:t>随着推理成本下降和模型小型化，大华股份正将大模型能力从云端下沉至边缘终端，推动智能硬件的全闭环交付，释放全新产品需求潜力。公司通过深度客户关系、软硬一体交付能力和持续技术迭代，构建了立体的综合能力组合，稳固了行业地位。在智慧物联领域，大华股份致力于成为一家穿越周期，持续创造经济与社会价值的企业，其使命在于成就更智能、更美好的社会。</w:t>
      </w:r>
    </w:p>
    <w:p>
      <w:r>
        <w:rPr>
          <w:rFonts w:ascii="等线(中文正文)" w:hAnsi="等线(中文正文)" w:cs="等线(中文正文)" w:eastAsia="等线(中文正文)"/>
          <w:b w:val="false"/>
          <w:i w:val="false"/>
          <w:sz w:val="20"/>
        </w:rPr>
        <w:t/>
      </w:r>
    </w:p>
    <w:p>
      <w:pPr>
        <w:pStyle w:val="ab"/>
        <w:numPr>
          <w:numId w:val="4"/>
        </w:numPr>
      </w:pPr>
      <w:r>
        <w:t>12:59 行业景气度与毛利率展望</w:t>
      </w:r>
    </w:p>
    <w:p>
      <w:r>
        <w:rPr>
          <w:rFonts w:ascii="等线(中文正文)" w:hAnsi="等线(中文正文)" w:cs="等线(中文正文)" w:eastAsia="等线(中文正文)"/>
          <w:b w:val="false"/>
          <w:i w:val="false"/>
          <w:sz w:val="20"/>
        </w:rPr>
        <w:t>对话围绕行业景气度、毛利率展望及费用控制展开，指出上半年收入和毛利表现良好，受汇率影响显著。下半年预计国内营收和利润持续向好，海外利润受汇率和成本波动影响，整体毛利率保持稳定，行业智能化需求增长，生产安全与交通数字化成为重要驱动力。</w:t>
      </w:r>
    </w:p>
    <w:p>
      <w:r>
        <w:rPr>
          <w:rFonts w:ascii="等线(中文正文)" w:hAnsi="等线(中文正文)" w:cs="等线(中文正文)" w:eastAsia="等线(中文正文)"/>
          <w:b w:val="false"/>
          <w:i w:val="false"/>
          <w:sz w:val="20"/>
        </w:rPr>
        <w:t/>
      </w:r>
    </w:p>
    <w:p>
      <w:pPr>
        <w:pStyle w:val="ab"/>
        <w:numPr>
          <w:numId w:val="5"/>
        </w:numPr>
      </w:pPr>
      <w:r>
        <w:t>21:21 毛利率展望与成本上涨挑战</w:t>
      </w:r>
    </w:p>
    <w:p>
      <w:r>
        <w:rPr>
          <w:rFonts w:ascii="等线(中文正文)" w:hAnsi="等线(中文正文)" w:cs="等线(中文正文)" w:eastAsia="等线(中文正文)"/>
          <w:b w:val="false"/>
          <w:i w:val="false"/>
          <w:sz w:val="20"/>
        </w:rPr>
        <w:t>对话围绕毛利率的展望展开，指出上半年毛利率为43%，受原材料成本上涨及汇率影响，预计下半年毛利率可能稳中略降。尽管通过产品优化和库存管理努力控制成本，但部分原材料如存储芯片价格暴涨，对毛利率构成压力。费用率方面，整体保持稳定，但财务费用因汇兑损益波动较大，需关注其对费用率的影响。</w:t>
      </w:r>
    </w:p>
    <w:p>
      <w:r>
        <w:rPr>
          <w:rFonts w:ascii="等线(中文正文)" w:hAnsi="等线(中文正文)" w:cs="等线(中文正文)" w:eastAsia="等线(中文正文)"/>
          <w:b w:val="false"/>
          <w:i w:val="false"/>
          <w:sz w:val="20"/>
        </w:rPr>
        <w:t/>
      </w:r>
    </w:p>
    <w:p>
      <w:pPr>
        <w:pStyle w:val="ab"/>
        <w:numPr>
          <w:numId w:val="6"/>
        </w:numPr>
      </w:pPr>
      <w:r>
        <w:t>27:23 AI与AR技术在大模型场景化应用中的增长与挑战</w:t>
      </w:r>
    </w:p>
    <w:p>
      <w:r>
        <w:rPr>
          <w:rFonts w:ascii="等线(中文正文)" w:hAnsi="等线(中文正文)" w:cs="等线(中文正文)" w:eastAsia="等线(中文正文)"/>
          <w:b w:val="false"/>
          <w:i w:val="false"/>
          <w:sz w:val="20"/>
        </w:rPr>
        <w:t>讨论了软件业务的快速增长，特别是AI大模型和AR技术在大模型场景化应用中的表现与挑战。强调了软硬一体化、AR工程化能力以及场景化解决方案的重要性，指出大模型正从试点转向商业化应用，AR标准化产品和大模型在行业中的应用成为重点推进方向，同时将大模型的场景化应用视为股权激励的重要指标。</w:t>
      </w:r>
    </w:p>
    <w:p>
      <w:r>
        <w:rPr>
          <w:rFonts w:ascii="等线(中文正文)" w:hAnsi="等线(中文正文)" w:cs="等线(中文正文)" w:eastAsia="等线(中文正文)"/>
          <w:b w:val="false"/>
          <w:i w:val="false"/>
          <w:sz w:val="20"/>
        </w:rPr>
        <w:t/>
      </w:r>
    </w:p>
    <w:p>
      <w:pPr>
        <w:pStyle w:val="ab"/>
        <w:numPr>
          <w:numId w:val="7"/>
        </w:numPr>
      </w:pPr>
      <w:r>
        <w:t>36:01 存储与硬盘业务波动及应对策略</w:t>
      </w:r>
    </w:p>
    <w:p>
      <w:r>
        <w:rPr>
          <w:rFonts w:ascii="等线(中文正文)" w:hAnsi="等线(中文正文)" w:cs="等线(中文正文)" w:eastAsia="等线(中文正文)"/>
          <w:b w:val="false"/>
          <w:i w:val="false"/>
          <w:sz w:val="20"/>
        </w:rPr>
        <w:t>讨论了存储业务，包括新存储子公司与外采HDD的收益变化，以及DDR3/4供不应求导致的涨价对利润的影响。上半年硬盘业务带来高毛利，但下半年面临成本上涨压力，毛利率可能下滑。公司通过备货降低成本影响，研发优化产品，以及供应链管理应对涨价。同时，国内分销业务因存货增加而受益，但需警惕小厂使用旧料带来的价格竞争压力。</w:t>
      </w:r>
    </w:p>
    <w:p>
      <w:r>
        <w:rPr>
          <w:rFonts w:ascii="等线(中文正文)" w:hAnsi="等线(中文正文)" w:cs="等线(中文正文)" w:eastAsia="等线(中文正文)"/>
          <w:b w:val="false"/>
          <w:i w:val="false"/>
          <w:sz w:val="20"/>
        </w:rPr>
        <w:t/>
      </w:r>
    </w:p>
    <w:p>
      <w:pPr>
        <w:pStyle w:val="ab"/>
        <w:numPr>
          <w:numId w:val="8"/>
        </w:numPr>
      </w:pPr>
      <w:r>
        <w:t>45:22 应对原材料上涨与市场需求的策略探讨</w:t>
      </w:r>
    </w:p>
    <w:p>
      <w:r>
        <w:rPr>
          <w:rFonts w:ascii="等线(中文正文)" w:hAnsi="等线(中文正文)" w:cs="等线(中文正文)" w:eastAsia="等线(中文正文)"/>
          <w:b w:val="false"/>
          <w:i w:val="false"/>
          <w:sz w:val="20"/>
        </w:rPr>
        <w:t>讨论了原材料成本上涨对需求的抑制作用及对竞争环境下定价的影响，分享了通过增加存货和稳健理财策略来对冲负面影响的措施。强调了在上涨通道中保持谨慎备货的重要性，以及AI技术在提升行业效率和创造新需求方面的积极作用。</w:t>
      </w:r>
    </w:p>
    <w:p>
      <w:r>
        <w:rPr>
          <w:rFonts w:ascii="等线(中文正文)" w:hAnsi="等线(中文正文)" w:cs="等线(中文正文)" w:eastAsia="等线(中文正文)"/>
          <w:b w:val="false"/>
          <w:i w:val="false"/>
          <w:sz w:val="20"/>
        </w:rPr>
        <w:t/>
      </w:r>
    </w:p>
    <w:p>
      <w:pPr>
        <w:pStyle w:val="ab"/>
        <w:numPr>
          <w:numId w:val="9"/>
        </w:numPr>
      </w:pPr>
      <w:r>
        <w:t>01:02:08 大模型业务毛利率与商业化路径探讨</w:t>
      </w:r>
    </w:p>
    <w:p>
      <w:r>
        <w:rPr>
          <w:rFonts w:ascii="等线(中文正文)" w:hAnsi="等线(中文正文)" w:cs="等线(中文正文)" w:eastAsia="等线(中文正文)"/>
          <w:b w:val="false"/>
          <w:i w:val="false"/>
          <w:sz w:val="20"/>
        </w:rPr>
        <w:t>对话围绕大模型业务的毛利率及其未来展望展开，指出当前大模型收入中软件比重及毛利率情况，强调软件毛利率较高，未来希望保持或提升毛利率，同时推进从试点到商业化变现的过程，特别是在交通、公安、能源等场景化应用中的深化。</w:t>
      </w:r>
    </w:p>
    <w:p>
      <w:r>
        <w:rPr>
          <w:rFonts w:ascii="等线(中文正文)" w:hAnsi="等线(中文正文)" w:cs="等线(中文正文)" w:eastAsia="等线(中文正文)"/>
          <w:b w:val="false"/>
          <w:i w:val="false"/>
          <w:sz w:val="20"/>
        </w:rPr>
        <w:t/>
      </w:r>
    </w:p>
    <w:p>
      <w:pPr>
        <w:pStyle w:val="ab"/>
        <w:numPr>
          <w:numId w:val="10"/>
        </w:numPr>
      </w:pPr>
      <w:r>
        <w:t>01:10:59 海外业务布局与增长策略解析</w:t>
      </w:r>
    </w:p>
    <w:p>
      <w:r>
        <w:rPr>
          <w:rFonts w:ascii="等线(中文正文)" w:hAnsi="等线(中文正文)" w:cs="等线(中文正文)" w:eastAsia="等线(中文正文)"/>
          <w:b w:val="false"/>
          <w:i w:val="false"/>
          <w:sz w:val="20"/>
        </w:rPr>
        <w:t>对话深入探讨了海外业务的现状与未来规划，包括分销与集成商市场的布局，新产品与解决方案的拓展，以及面对汇率波动和原材料价格上涨的应对策略。海外业务对集团利润贡献显著，占比达65%，且毛利率较高，预计下半年增长将保持稳健，尽管面临一定压力。</w:t>
      </w:r>
    </w:p>
    <w:p>
      <w:r>
        <w:rPr>
          <w:rFonts w:ascii="等线(中文正文)" w:hAnsi="等线(中文正文)" w:cs="等线(中文正文)" w:eastAsia="等线(中文正文)"/>
          <w:b w:val="false"/>
          <w:i w:val="false"/>
          <w:sz w:val="20"/>
        </w:rPr>
        <w:t/>
      </w:r>
    </w:p>
    <w:p>
      <w:pPr>
        <w:pStyle w:val="ab"/>
        <w:numPr>
          <w:numId w:val="11"/>
        </w:numPr>
      </w:pPr>
      <w:r>
        <w:t>01:22:34 行业竞争格局与护城河构建</w:t>
      </w:r>
    </w:p>
    <w:p>
      <w:r>
        <w:rPr>
          <w:rFonts w:ascii="等线(中文正文)" w:hAnsi="等线(中文正文)" w:cs="等线(中文正文)" w:eastAsia="等线(中文正文)"/>
          <w:b w:val="false"/>
          <w:i w:val="false"/>
          <w:sz w:val="20"/>
        </w:rPr>
        <w:t>对话探讨了原材料紧张和AI大模型技术变革对行业竞争环境的影响。指出龙头企业通过技术积累、研发投入、全球化布局和供应链管理构建了竞争护城河，尤其是在毛利率提升方面表现良好，展现了在复杂竞争环境下的优势。尽管小企业面临挑战，但行业整体正逐步形成双寡头的竞争格局，龙头企业的竞争优势日益明显。</w:t>
      </w:r>
    </w:p>
    <w:p>
      <w:r>
        <w:rPr>
          <w:rFonts w:ascii="等线(中文正文)" w:hAnsi="等线(中文正文)" w:cs="等线(中文正文)" w:eastAsia="等线(中文正文)"/>
          <w:b w:val="false"/>
          <w:i w:val="false"/>
          <w:sz w:val="20"/>
        </w:rPr>
        <w:t/>
      </w:r>
    </w:p>
    <w:p>
      <w:pPr>
        <w:pStyle w:val="ab"/>
        <w:numPr>
          <w:numId w:val="12"/>
        </w:numPr>
      </w:pPr>
      <w:r>
        <w:t>01:31:30 新兴业务热点与商机洞察</w:t>
      </w:r>
    </w:p>
    <w:p>
      <w:r>
        <w:rPr>
          <w:rFonts w:ascii="等线(中文正文)" w:hAnsi="等线(中文正文)" w:cs="等线(中文正文)" w:eastAsia="等线(中文正文)"/>
          <w:b w:val="false"/>
          <w:i w:val="false"/>
          <w:sz w:val="20"/>
        </w:rPr>
        <w:t>对话围绕新兴业务热点展开，如环保部的排污监控要求、医院安防升级需求等，强调了大华在快速响应新兴需求上的优势。讨论了如何通过敏锐捕捉商机、提供有效产品和解决方案，来满足市场需求，驱动业务增长，特别是在AI升级和综合应用绩效目标下的增长机遇。同时，提到了国内营销队伍在捕捉新需求和实现可持续增长中的关键作用，以及对净利润增长的重视。</w:t>
      </w:r>
    </w:p>
    <w:p>
      <w:r>
        <w:rPr>
          <w:rFonts w:ascii="等线(中文正文)" w:hAnsi="等线(中文正文)" w:cs="等线(中文正文)" w:eastAsia="等线(中文正文)"/>
          <w:b w:val="false"/>
          <w:i w:val="false"/>
          <w:sz w:val="20"/>
        </w:rPr>
        <w:t/>
      </w:r>
    </w:p>
    <w:p>
      <w:pPr>
        <w:pStyle w:val="ab"/>
        <w:numPr>
          <w:numId w:val="13"/>
        </w:numPr>
      </w:pPr>
      <w:r>
        <w:t>01:37:33 大华股份业务转型与分红政策</w:t>
      </w:r>
    </w:p>
    <w:p>
      <w:r>
        <w:rPr>
          <w:rFonts w:ascii="等线(中文正文)" w:hAnsi="等线(中文正文)" w:cs="等线(中文正文)" w:eastAsia="等线(中文正文)"/>
          <w:b w:val="false"/>
          <w:i w:val="false"/>
          <w:sz w:val="20"/>
        </w:rPr>
        <w:t>对话围绕大华股份的业务转型与分红政策展开，强调了从大规模硬件建设向智能化、AI应用的转变，以及在主航道行业聚焦高质量发展，提升毛利率与现金流。对于分红，承诺每年至少50%的利润用于分红，体现了对投资者回报的重视。未来将深化各行业智能化应用，避免周期性波动，实现均衡发展。</w:t>
      </w:r>
    </w:p>
    <w:p>
      <w:r>
        <w:rPr>
          <w:rFonts w:ascii="等线(中文正文)" w:hAnsi="等线(中文正文)" w:cs="等线(中文正文)" w:eastAsia="等线(中文正文)"/>
          <w:b w:val="false"/>
          <w:i w:val="false"/>
          <w:sz w:val="20"/>
        </w:rPr>
        <w:t/>
      </w:r>
    </w:p>
    <w:p>
      <w:pPr>
        <w:pStyle w:val="a7"/>
      </w:pPr>
      <w:r>
        <w:t>发言总结</w:t>
      </w:r>
    </w:p>
    <w:p>
      <w:pPr>
        <w:pStyle w:val="ab"/>
        <w:numPr>
          <w:numId w:val="14"/>
        </w:numPr>
      </w:pPr>
      <w:r>
        <w:t>发言人1</w:t>
      </w:r>
    </w:p>
    <w:p>
      <w:r>
        <w:rPr>
          <w:rFonts w:ascii="等线(中文正文)" w:hAnsi="等线(中文正文)" w:cs="等线(中文正文)" w:eastAsia="等线(中文正文)"/>
          <w:b w:val="false"/>
          <w:i w:val="false"/>
          <w:sz w:val="20"/>
        </w:rPr>
        <w:t>首先强调会议保密性，提醒投资者谨慎对待市场风险。面对复杂经济环境，大华股份上半年营收增长10.03%，尽管净利润略有下降，扣非净利润保持增长，显示出财务稳健和经营稳定性。公司通过技术创新和精益管理应对供应链涨价，维持高质量发展。他强调公司在智慧物联行业的深耕，利用AI和大模型技术优化产品结构，保持毛利率稳定，并在全球市场中通过持续创新和策略调整维持竞争优势。同时，他承诺至少50%利润作为分红，重视现金流和股东回报。他的回答涵盖了公司业务、毛利率、存货策略及海外业务挑战，展示了公司对市场需求的洞察和未来发展信心。</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问：在当下的时间点，如何看待我们主营的景气度，包括各个BG，因为今年上半年营收增速已经相对去年明显提升？</w:t>
      </w:r>
    </w:p>
    <w:p>
      <w:r>
        <w:rPr>
          <w:rFonts w:ascii="等线(中文正文)" w:hAnsi="等线(中文正文)" w:cs="等线(中文正文)" w:eastAsia="等线(中文正文)"/>
          <w:b w:val="false"/>
          <w:i w:val="false"/>
          <w:sz w:val="20"/>
        </w:rPr>
        <w:t>发言人1 答：今年上半年，公司主营表现出良好的景气度。整体收入增长了10.03%，若剔除子公司出售的影响，实际增速在18%左右，创下了近几年的最佳表现。无论是国内还是国外业务，在相同口径下增速均接近18%，创新业务增速超过30%。下半年，虽然收入增长可能会有所放缓，但由于费用保持稳定且毛利进一步提升，国内营收和利润有望延续向好趋势。在AI智能化需求的推动下，政府业务以及交通数字化等领域将提供强劲动力。</w:t>
      </w:r>
    </w:p>
    <w:p>
      <w:r>
        <w:rPr>
          <w:rFonts w:ascii="等线(中文正文)" w:hAnsi="等线(中文正文)" w:cs="等线(中文正文)" w:eastAsia="等线(中文正文)"/>
          <w:b w:val="false"/>
          <w:i w:val="false"/>
          <w:sz w:val="20"/>
        </w:rPr>
        <w:t/>
      </w:r>
    </w:p>
    <w:p>
      <w:pPr>
        <w:pStyle w:val="ab"/>
      </w:pPr>
      <w:r>
        <w:t>发言人1 问：关于毛利率的问题，因为我们看到行业的几家公司毛利率都在往上走。对于未来毛利率展望，它应该在一个什么样的合理的水平？刚刚吴总也提到了精益管理技术中心，我们关于费用未来是怎么怎么看的？是还有压缩的空间吗？</w:t>
      </w:r>
    </w:p>
    <w:p>
      <w:r>
        <w:rPr>
          <w:rFonts w:ascii="等线(中文正文)" w:hAnsi="等线(中文正文)" w:cs="等线(中文正文)" w:eastAsia="等线(中文正文)"/>
          <w:b w:val="false"/>
          <w:i w:val="false"/>
          <w:sz w:val="20"/>
        </w:rPr>
        <w:t>发言人1 答：上半年公司的毛利率增长了一个多百分点，达到了43%点几，这表明整体表现较为乐观。对于未来毛利率展望，虽然会受到汇率波动等因素的影响，但公司通过加强技术创新和精益管理，以及优化产品结构和成本控制，力争保持并提升毛利率水平。下半年，尽管汇率影响可能带来一定挑战，但随着业务结构的调整和更加均衡化，预计毛利率将相对稳定。对于费用方面的展望，公司在精益管理技术中心的投入上已取得积极成果，费用保持相对稳定。下半年，随着业务布局的优化和精细化管理的深入，费用控制将更加精准，同时也会根据市场变化灵活调整策略，确保整体运营效率和费用使用的合理性。目前来看，费用压缩的空间可能不如之前明显，但通过持续的优化和调整，公司有信心实现更为合理的费用管理目标。</w:t>
      </w:r>
    </w:p>
    <w:p>
      <w:r>
        <w:rPr>
          <w:rFonts w:ascii="等线(中文正文)" w:hAnsi="等线(中文正文)" w:cs="等线(中文正文)" w:eastAsia="等线(中文正文)"/>
          <w:b w:val="false"/>
          <w:i w:val="false"/>
          <w:sz w:val="20"/>
        </w:rPr>
        <w:t/>
      </w:r>
    </w:p>
    <w:p>
      <w:pPr>
        <w:pStyle w:val="ab"/>
      </w:pPr>
      <w:r>
        <w:t>发言人1 问：在汇率方面，下半年会对收入利润产生怎样的影响？</w:t>
      </w:r>
    </w:p>
    <w:p>
      <w:r>
        <w:rPr>
          <w:rFonts w:ascii="等线(中文正文)" w:hAnsi="等线(中文正文)" w:cs="等线(中文正文)" w:eastAsia="等线(中文正文)"/>
          <w:b w:val="false"/>
          <w:i w:val="false"/>
          <w:sz w:val="20"/>
        </w:rPr>
        <w:t>发言人1 答：下半年汇率方面可能会比上半年更正向一些，但成本上涨的问题仍然存在。尽管我们已进行多次涨价，能否完全覆盖采购成本的上涨还需观察。整体来看，结合国内外市场情况，下半年我们预计能保持稳健的收入和利润增长。</w:t>
      </w:r>
    </w:p>
    <w:p>
      <w:r>
        <w:rPr>
          <w:rFonts w:ascii="等线(中文正文)" w:hAnsi="等线(中文正文)" w:cs="等线(中文正文)" w:eastAsia="等线(中文正文)"/>
          <w:b w:val="false"/>
          <w:i w:val="false"/>
          <w:sz w:val="20"/>
        </w:rPr>
        <w:t/>
      </w:r>
    </w:p>
    <w:p>
      <w:pPr>
        <w:pStyle w:val="ab"/>
      </w:pPr>
      <w:r>
        <w:t>发言人1 问：关于毛利率的展望，上半年的情况如何？</w:t>
      </w:r>
    </w:p>
    <w:p>
      <w:r>
        <w:rPr>
          <w:rFonts w:ascii="等线(中文正文)" w:hAnsi="等线(中文正文)" w:cs="等线(中文正文)" w:eastAsia="等线(中文正文)"/>
          <w:b w:val="false"/>
          <w:i w:val="false"/>
          <w:sz w:val="20"/>
        </w:rPr>
        <w:t>发言人1 答：上半年的毛利率为43%，其中有利因素包括对主航道产品的有效管理、精准加载产品和解决方案以及全域自研产品的增加，这些都对毛利保持正向贡献。然而，负向因素在于尽管进行了涨价，但是否能完全覆盖成本上涨还需进一步观察。因此，下半年毛利率可能会稳中略有下调，但仍能保持相对稳定。</w:t>
      </w:r>
    </w:p>
    <w:p>
      <w:r>
        <w:rPr>
          <w:rFonts w:ascii="等线(中文正文)" w:hAnsi="等线(中文正文)" w:cs="等线(中文正文)" w:eastAsia="等线(中文正文)"/>
          <w:b w:val="false"/>
          <w:i w:val="false"/>
          <w:sz w:val="20"/>
        </w:rPr>
        <w:t/>
      </w:r>
    </w:p>
    <w:p>
      <w:pPr>
        <w:pStyle w:val="ab"/>
      </w:pPr>
      <w:r>
        <w:t>发言人1 问：存储芯片价格大幅上涨对毛利率有何影响？</w:t>
      </w:r>
    </w:p>
    <w:p>
      <w:r>
        <w:rPr>
          <w:rFonts w:ascii="等线(中文正文)" w:hAnsi="等线(中文正文)" w:cs="等线(中文正文)" w:eastAsia="等线(中文正文)"/>
          <w:b w:val="false"/>
          <w:i w:val="false"/>
          <w:sz w:val="20"/>
        </w:rPr>
        <w:t>发言人1 答：存储芯片价格涨幅巨大，如EMMC存储芯片价格从去年年底的2.9美金涨至30美金，这导致维持原有毛利率不变需要对客户定价大幅提高，而这在一定程度上会影响毛利率的稳定性。不过，我们一直在寻求材料上涨与产品定价之间的平衡点，以确保毛利率相对稳健。</w:t>
      </w:r>
    </w:p>
    <w:p>
      <w:r>
        <w:rPr>
          <w:rFonts w:ascii="等线(中文正文)" w:hAnsi="等线(中文正文)" w:cs="等线(中文正文)" w:eastAsia="等线(中文正文)"/>
          <w:b w:val="false"/>
          <w:i w:val="false"/>
          <w:sz w:val="20"/>
        </w:rPr>
        <w:t/>
      </w:r>
    </w:p>
    <w:p>
      <w:pPr>
        <w:pStyle w:val="ab"/>
      </w:pPr>
      <w:r>
        <w:t>发言人1 问：费用率方面，尤其是财务费用有何变动原因？</w:t>
      </w:r>
    </w:p>
    <w:p>
      <w:r>
        <w:rPr>
          <w:rFonts w:ascii="等线(中文正文)" w:hAnsi="等线(中文正文)" w:cs="等线(中文正文)" w:eastAsia="等线(中文正文)"/>
          <w:b w:val="false"/>
          <w:i w:val="false"/>
          <w:sz w:val="20"/>
        </w:rPr>
        <w:t>发言人1 答：费用率整体上基本保持稳定，人员规模也相对稳定。但在财务费用方面，由于汇总收益的影响，费用率可能会有较大增长（几个亿的影响）。此外，销售费用、管理费用和研发费用基本稳定略有增长，整体可控。</w:t>
      </w:r>
    </w:p>
    <w:p>
      <w:r>
        <w:rPr>
          <w:rFonts w:ascii="等线(中文正文)" w:hAnsi="等线(中文正文)" w:cs="等线(中文正文)" w:eastAsia="等线(中文正文)"/>
          <w:b w:val="false"/>
          <w:i w:val="false"/>
          <w:sz w:val="20"/>
        </w:rPr>
        <w:t/>
      </w:r>
    </w:p>
    <w:p>
      <w:pPr>
        <w:pStyle w:val="ab"/>
      </w:pPr>
      <w:r>
        <w:t>发言人1 问：分业务结构中，软件业务的增长以及AI大模型相关产品的具体表现如何？</w:t>
      </w:r>
    </w:p>
    <w:p>
      <w:r>
        <w:rPr>
          <w:rFonts w:ascii="等线(中文正文)" w:hAnsi="等线(中文正文)" w:cs="等线(中文正文)" w:eastAsia="等线(中文正文)"/>
          <w:b w:val="false"/>
          <w:i w:val="false"/>
          <w:sz w:val="20"/>
        </w:rPr>
        <w:t>发言人1 答：软件业务增长30%以上，主要是由于AI大模型相关产品的推动，今年上半年这部分业务有较大增量，并且毛利较高。软件虽然规模相对较小，但在与硬件结合的场景化解决方案中发挥了重要作用，随着AR大模型的应用和推广，软件业务的增长潜力得以显现。</w:t>
      </w:r>
    </w:p>
    <w:p>
      <w:r>
        <w:rPr>
          <w:rFonts w:ascii="等线(中文正文)" w:hAnsi="等线(中文正文)" w:cs="等线(中文正文)" w:eastAsia="等线(中文正文)"/>
          <w:b w:val="false"/>
          <w:i w:val="false"/>
          <w:sz w:val="20"/>
        </w:rPr>
        <w:t/>
      </w:r>
    </w:p>
    <w:p>
      <w:pPr>
        <w:pStyle w:val="ab"/>
      </w:pPr>
      <w:r>
        <w:t>发言人1 问：这一轮上游涨价潮会对我们的利润或毛利产生怎样的贡献？</w:t>
      </w:r>
    </w:p>
    <w:p>
      <w:r>
        <w:rPr>
          <w:rFonts w:ascii="等线(中文正文)" w:hAnsi="等线(中文正文)" w:cs="等线(中文正文)" w:eastAsia="等线(中文正文)"/>
          <w:b w:val="false"/>
          <w:i w:val="false"/>
          <w:sz w:val="20"/>
        </w:rPr>
        <w:t>发言人1 答：此轮涨价潮将影响创新子公司、外采HDD以及前端产品SOC等方面。尤其是存储相关业务和PCB存储被动器件，上半年有部分红利，但随着市场竞争加剧和成本上升，下半年这部分业务带来的收益可能会有所减少。不过，硬盘业务在上半年仍为整体利润贡献较大，但下半年面临材料价格上涨导致收益缩减的挑战。</w:t>
      </w:r>
    </w:p>
    <w:p>
      <w:r>
        <w:rPr>
          <w:rFonts w:ascii="等线(中文正文)" w:hAnsi="等线(中文正文)" w:cs="等线(中文正文)" w:eastAsia="等线(中文正文)"/>
          <w:b w:val="false"/>
          <w:i w:val="false"/>
          <w:sz w:val="20"/>
        </w:rPr>
        <w:t/>
      </w:r>
    </w:p>
    <w:p>
      <w:pPr>
        <w:pStyle w:val="ab"/>
      </w:pPr>
      <w:r>
        <w:t>发言人1 问：硬盘业务的毛利率在上半年和下半年有何波动？</w:t>
      </w:r>
    </w:p>
    <w:p>
      <w:r>
        <w:rPr>
          <w:rFonts w:ascii="等线(中文正文)" w:hAnsi="等线(中文正文)" w:cs="等线(中文正文)" w:eastAsia="等线(中文正文)"/>
          <w:b w:val="false"/>
          <w:i w:val="false"/>
          <w:sz w:val="20"/>
        </w:rPr>
        <w:t>发言人1 答：上半年硬盘的毛利率可能达到60%左右，而下半年可能会回归到30%左右，整体波动较大。</w:t>
      </w:r>
    </w:p>
    <w:p>
      <w:r>
        <w:rPr>
          <w:rFonts w:ascii="等线(中文正文)" w:hAnsi="等线(中文正文)" w:cs="等线(中文正文)" w:eastAsia="等线(中文正文)"/>
          <w:b w:val="false"/>
          <w:i w:val="false"/>
          <w:sz w:val="20"/>
        </w:rPr>
        <w:t/>
      </w:r>
    </w:p>
    <w:p>
      <w:pPr>
        <w:pStyle w:val="ab"/>
      </w:pPr>
      <w:r>
        <w:t>发言人1 问：原材料价格上涨对PCD被动物料业务的影响如何？</w:t>
      </w:r>
    </w:p>
    <w:p>
      <w:r>
        <w:rPr>
          <w:rFonts w:ascii="等线(中文正文)" w:hAnsi="等线(中文正文)" w:cs="等线(中文正文)" w:eastAsia="等线(中文正文)"/>
          <w:b w:val="false"/>
          <w:i w:val="false"/>
          <w:sz w:val="20"/>
        </w:rPr>
        <w:t>发言人1 答：目前这些材料还在上涨通道中，通过优化库存管理和采购策略，备货成本会低于当期采购成本，但未来成本空间可能会舒展，同时会结合竞争伙伴的价格以及客户承载能力动态调整售价。</w:t>
      </w:r>
    </w:p>
    <w:p>
      <w:r>
        <w:rPr>
          <w:rFonts w:ascii="等线(中文正文)" w:hAnsi="等线(中文正文)" w:cs="等线(中文正文)" w:eastAsia="等线(中文正文)"/>
          <w:b w:val="false"/>
          <w:i w:val="false"/>
          <w:sz w:val="20"/>
        </w:rPr>
        <w:t/>
      </w:r>
    </w:p>
    <w:p>
      <w:pPr>
        <w:pStyle w:val="ab"/>
      </w:pPr>
      <w:r>
        <w:t>发言人1 问：公司如何应对原材料成本上涨的问题？</w:t>
      </w:r>
    </w:p>
    <w:p>
      <w:r>
        <w:rPr>
          <w:rFonts w:ascii="等线(中文正文)" w:hAnsi="等线(中文正文)" w:cs="等线(中文正文)" w:eastAsia="等线(中文正文)"/>
          <w:b w:val="false"/>
          <w:i w:val="false"/>
          <w:sz w:val="20"/>
        </w:rPr>
        <w:t>发言人1 答：公司在研发方面积极努力，通过产品和解决方案优化，比如减少存储产品的容量等措施来应对成本上涨，同时保持一定的涨价策略以覆盖部分成本上涨带来的压力。</w:t>
      </w:r>
    </w:p>
    <w:p>
      <w:r>
        <w:rPr>
          <w:rFonts w:ascii="等线(中文正文)" w:hAnsi="等线(中文正文)" w:cs="等线(中文正文)" w:eastAsia="等线(中文正文)"/>
          <w:b w:val="false"/>
          <w:i w:val="false"/>
          <w:sz w:val="20"/>
        </w:rPr>
        <w:t/>
      </w:r>
    </w:p>
    <w:p>
      <w:pPr>
        <w:pStyle w:val="ab"/>
      </w:pPr>
      <w:r>
        <w:t>发言人1 问：存货策略和原材料采购策略是怎样的？对于原材料价格上涨，公司后续的预期和策略是什么？</w:t>
      </w:r>
    </w:p>
    <w:p>
      <w:r>
        <w:rPr>
          <w:rFonts w:ascii="等线(中文正文)" w:hAnsi="等线(中文正文)" w:cs="等线(中文正文)" w:eastAsia="等线(中文正文)"/>
          <w:b w:val="false"/>
          <w:i w:val="false"/>
          <w:sz w:val="20"/>
        </w:rPr>
        <w:t>发言人1 答：在存货策略上，尽管存货增加较大，但公司已采取措施管控风险，并在原材料上涨时适当备货，力求稳健发展。在原材料采购方面，上半年备货较多，下半年根据市场情况进行了调整，以防过度备货带来的风险。公司会综合考虑成本上涨、需求抑制及市场竞争等因素，采取稳健的资金管理措施，如票据贴现、量化投资等，并对存货进行合理管控，避免过大库存风险。同时，根据市场需求和原材料价格走势，适时调整备货策略。</w:t>
      </w:r>
    </w:p>
    <w:p>
      <w:r>
        <w:rPr>
          <w:rFonts w:ascii="等线(中文正文)" w:hAnsi="等线(中文正文)" w:cs="等线(中文正文)" w:eastAsia="等线(中文正文)"/>
          <w:b w:val="false"/>
          <w:i w:val="false"/>
          <w:sz w:val="20"/>
        </w:rPr>
        <w:t/>
      </w:r>
    </w:p>
    <w:p>
      <w:pPr>
        <w:pStyle w:val="ab"/>
      </w:pPr>
      <w:r>
        <w:t>发言人1 问：上半年To B和To G业务的增长中，涨价和下游需求回暖分别贡献了多少？</w:t>
      </w:r>
    </w:p>
    <w:p>
      <w:r>
        <w:rPr>
          <w:rFonts w:ascii="等线(中文正文)" w:hAnsi="等线(中文正文)" w:cs="等线(中文正文)" w:eastAsia="等线(中文正文)"/>
          <w:b w:val="false"/>
          <w:i w:val="false"/>
          <w:sz w:val="20"/>
        </w:rPr>
        <w:t>发言人1 答：上半年To B业务增长16%，其中大鸡（公安）业务增长24.4%，主要是地方财政改善及刚需市场的智能升级需求增加带来的增长。涨价和下游需求回暖都有所贡献，尤其是AR技术的应用以及公安领域的大模型落地项目显著提升了业务增长。To G业务中，公安、交通、司法等方面受益于精细化应用和刚需升级需求的增长，但也有部分受原材料价格上涨影响，导致销售规模增长有所趋缓。</w:t>
      </w:r>
    </w:p>
    <w:p>
      <w:r>
        <w:rPr>
          <w:rFonts w:ascii="等线(中文正文)" w:hAnsi="等线(中文正文)" w:cs="等线(中文正文)" w:eastAsia="等线(中文正文)"/>
          <w:b w:val="false"/>
          <w:i w:val="false"/>
          <w:sz w:val="20"/>
        </w:rPr>
        <w:t/>
      </w:r>
    </w:p>
    <w:p>
      <w:pPr>
        <w:pStyle w:val="ab"/>
      </w:pPr>
      <w:r>
        <w:t>发言人1 问：对于下半年，您觉得材料上涨对订单储备和项目储备的影响会大于价格贡献吗？</w:t>
      </w:r>
    </w:p>
    <w:p>
      <w:r>
        <w:rPr>
          <w:rFonts w:ascii="等线(中文正文)" w:hAnsi="等线(中文正文)" w:cs="等线(中文正文)" w:eastAsia="等线(中文正文)"/>
          <w:b w:val="false"/>
          <w:i w:val="false"/>
          <w:sz w:val="20"/>
        </w:rPr>
        <w:t>发言人1 答：是的，下半年材料上涨带来的影响可能要大于价格贡献。因为涨价在竞争客户意愿和购买力时会带来一些风险，而项目储备和AR在各领域的试点到商业化变现的过程中，我们还是相对乐观的。</w:t>
      </w:r>
    </w:p>
    <w:p>
      <w:r>
        <w:rPr>
          <w:rFonts w:ascii="等线(中文正文)" w:hAnsi="等线(中文正文)" w:cs="等线(中文正文)" w:eastAsia="等线(中文正文)"/>
          <w:b w:val="false"/>
          <w:i w:val="false"/>
          <w:sz w:val="20"/>
        </w:rPr>
        <w:t/>
      </w:r>
    </w:p>
    <w:p>
      <w:pPr>
        <w:pStyle w:val="ab"/>
      </w:pPr>
      <w:r>
        <w:t>发言人1 问：关于海外业务，上半年由于各种原因增速比国内低，想了解下半年海外业务需求情况如何？以及海外渠道布局和软件占比会怎样？</w:t>
      </w:r>
    </w:p>
    <w:p>
      <w:r>
        <w:rPr>
          <w:rFonts w:ascii="等线(中文正文)" w:hAnsi="等线(中文正文)" w:cs="等线(中文正文)" w:eastAsia="等线(中文正文)"/>
          <w:b w:val="false"/>
          <w:i w:val="false"/>
          <w:sz w:val="20"/>
        </w:rPr>
        <w:t>发言人1 答：剔除汇率影响，实际上海外业务增速是高于国内的。海外业务主要分为分销和集成商项目两类，分销业务占了70%左右，已经建立了一个完整的渠道体系，包括一级代理到三级安装商的全覆盖。集成商及项目市场方面，我们在持续拓展，并积极找寻生态合作伙伴来固化集团客户关系。在产品和解决方案方面，我们正在不断布局新领域，如显控系统、报警产品线等，以寻求新的增长点。</w:t>
      </w:r>
    </w:p>
    <w:p>
      <w:r>
        <w:rPr>
          <w:rFonts w:ascii="等线(中文正文)" w:hAnsi="等线(中文正文)" w:cs="等线(中文正文)" w:eastAsia="等线(中文正文)"/>
          <w:b w:val="false"/>
          <w:i w:val="false"/>
          <w:sz w:val="20"/>
        </w:rPr>
        <w:t/>
      </w:r>
    </w:p>
    <w:p>
      <w:pPr>
        <w:pStyle w:val="ab"/>
      </w:pPr>
      <w:r>
        <w:t>发言人1 问：在海外业务方面，你们是如何加强和推进各项工作的？海外业务的具体布局情况如何？</w:t>
      </w:r>
    </w:p>
    <w:p>
      <w:r>
        <w:rPr>
          <w:rFonts w:ascii="等线(中文正文)" w:hAnsi="等线(中文正文)" w:cs="等线(中文正文)" w:eastAsia="等线(中文正文)"/>
          <w:b w:val="false"/>
          <w:i w:val="false"/>
          <w:sz w:val="20"/>
        </w:rPr>
        <w:t>发言人1 答：我们正在进一步强化海外业务的各个方面，包括渠道深入、极客项目市场的推进以及新产品与解决方案的创新。同时，我们也在开拓新的业务管道，比如从传统的安防管道到RT管道等专业领域。这些努力共同促进了海外业务的发展，虽然占总收入不到50%，但在利润贡献上却占据了集团约65%的份额。我们除了在美国市场退出外，在全球其他市场都有均衡布局，并且在海外有超过500名中国员工之外，还有通过20年发展融入当地文化的本地化员工。这些布局有力地推动了上半年海外业务的增长。</w:t>
      </w:r>
    </w:p>
    <w:p>
      <w:r>
        <w:rPr>
          <w:rFonts w:ascii="等线(中文正文)" w:hAnsi="等线(中文正文)" w:cs="等线(中文正文)" w:eastAsia="等线(中文正文)"/>
          <w:b w:val="false"/>
          <w:i w:val="false"/>
          <w:sz w:val="20"/>
        </w:rPr>
        <w:t/>
      </w:r>
    </w:p>
    <w:p>
      <w:pPr>
        <w:pStyle w:val="ab"/>
      </w:pPr>
      <w:r>
        <w:t>发言人1 问：海外业务当前的发展状况如何？</w:t>
      </w:r>
    </w:p>
    <w:p>
      <w:r>
        <w:rPr>
          <w:rFonts w:ascii="等线(中文正文)" w:hAnsi="等线(中文正文)" w:cs="等线(中文正文)" w:eastAsia="等线(中文正文)"/>
          <w:b w:val="false"/>
          <w:i w:val="false"/>
          <w:sz w:val="20"/>
        </w:rPr>
        <w:t>发言人1 答：海外业务在规模接近50亿美元的同时，利润贡献达到65%左右，毛利也保持较高水平，接近50%。这得益于全球化能力带来的竞争优势，也是我们的一个重要护城河。</w:t>
      </w:r>
    </w:p>
    <w:p>
      <w:r>
        <w:rPr>
          <w:rFonts w:ascii="等线(中文正文)" w:hAnsi="等线(中文正文)" w:cs="等线(中文正文)" w:eastAsia="等线(中文正文)"/>
          <w:b w:val="false"/>
          <w:i w:val="false"/>
          <w:sz w:val="20"/>
        </w:rPr>
        <w:t/>
      </w:r>
    </w:p>
    <w:p>
      <w:pPr>
        <w:pStyle w:val="ab"/>
      </w:pPr>
      <w:r>
        <w:t>发言人1 问：对于下半年海外业务的增长趋势有何预期？</w:t>
      </w:r>
    </w:p>
    <w:p>
      <w:r>
        <w:rPr>
          <w:rFonts w:ascii="等线(中文正文)" w:hAnsi="等线(中文正文)" w:cs="等线(中文正文)" w:eastAsia="等线(中文正文)"/>
          <w:b w:val="false"/>
          <w:i w:val="false"/>
          <w:sz w:val="20"/>
        </w:rPr>
        <w:t>发言人1 答：预计下半年海外业务仍会维持稳健的增长，尽管可能存在一些压力，但总体增速应会保持较高水平。此外，尽管汇率波动可能会影响毛利率，我们希望通过管理原材料成本上涨，确保毛利额的增长和毛利率的稳定。</w:t>
      </w:r>
    </w:p>
    <w:p>
      <w:r>
        <w:rPr>
          <w:rFonts w:ascii="等线(中文正文)" w:hAnsi="等线(中文正文)" w:cs="等线(中文正文)" w:eastAsia="等线(中文正文)"/>
          <w:b w:val="false"/>
          <w:i w:val="false"/>
          <w:sz w:val="20"/>
        </w:rPr>
        <w:t/>
      </w:r>
    </w:p>
    <w:p>
      <w:pPr>
        <w:pStyle w:val="ab"/>
      </w:pPr>
      <w:r>
        <w:t>发言人1 问：当前行业面临原材料紧张和技术变革带来的挑战，这是否会导致龙头厂商竞争优势更加明显？</w:t>
      </w:r>
    </w:p>
    <w:p>
      <w:r>
        <w:rPr>
          <w:rFonts w:ascii="等线(中文正文)" w:hAnsi="等线(中文正文)" w:cs="等线(中文正文)" w:eastAsia="等线(中文正文)"/>
          <w:b w:val="false"/>
          <w:i w:val="false"/>
          <w:sz w:val="20"/>
        </w:rPr>
        <w:t>发言人1 答：原材料紧张确实给龙头企业带来优势，通过成立专项小组、加班生产、技术积累及替换等方式应对供应紧张。大模型技术的发展也有利于大公司，因为它涉及广泛且需要强大的算法支持。尽管中小企业可能利用现有资源竞争，但从长远看，龙头公司在技术研发、全球化布局、供应链管理等方面构建了竞争优势，并随着毛利率的提升和市场竞争格局的改善，这些优势愈发凸显。</w:t>
      </w:r>
    </w:p>
    <w:p>
      <w:r>
        <w:rPr>
          <w:rFonts w:ascii="等线(中文正文)" w:hAnsi="等线(中文正文)" w:cs="等线(中文正文)" w:eastAsia="等线(中文正文)"/>
          <w:b w:val="false"/>
          <w:i w:val="false"/>
          <w:sz w:val="20"/>
        </w:rPr>
        <w:t/>
      </w:r>
    </w:p>
    <w:p>
      <w:pPr>
        <w:pStyle w:val="ab"/>
      </w:pPr>
      <w:r>
        <w:t>发言人1 问：如何看待近期出现的一些新兴业务热点，如环保监控、医院安防升级等，并且大华如何抓住这些商机？</w:t>
      </w:r>
    </w:p>
    <w:p>
      <w:r>
        <w:rPr>
          <w:rFonts w:ascii="等线(中文正文)" w:hAnsi="等线(中文正文)" w:cs="等线(中文正文)" w:eastAsia="等线(中文正文)"/>
          <w:b w:val="false"/>
          <w:i w:val="false"/>
          <w:sz w:val="20"/>
        </w:rPr>
        <w:t>发言人1 答：大华在响应这些新兴需求方面表现出色，拥有快速响应能力和丰富的项目经验。近期的环保、医院等新兴业务热点正在带动公司业务增长，我们有一支专业的营销团队能够敏锐捕捉到这些需求，并结合AI技术提供有效的产品和解决方案来满足市场需求，实现可持续增长。</w:t>
      </w:r>
    </w:p>
    <w:p>
      <w:r>
        <w:rPr>
          <w:rFonts w:ascii="等线(中文正文)" w:hAnsi="等线(中文正文)" w:cs="等线(中文正文)" w:eastAsia="等线(中文正文)"/>
          <w:b w:val="false"/>
          <w:i w:val="false"/>
          <w:sz w:val="20"/>
        </w:rPr>
        <w:t/>
      </w:r>
    </w:p>
    <w:p>
      <w:pPr>
        <w:pStyle w:val="ab"/>
      </w:pPr>
      <w:r>
        <w:t>发言人1 问：主业板块是否已经走出过去相对承压的周期，后续发展趋势如何？</w:t>
      </w:r>
    </w:p>
    <w:p>
      <w:r>
        <w:rPr>
          <w:rFonts w:ascii="等线(中文正文)" w:hAnsi="等线(中文正文)" w:cs="等线(中文正文)" w:eastAsia="等线(中文正文)"/>
          <w:b w:val="false"/>
          <w:i w:val="false"/>
          <w:sz w:val="20"/>
        </w:rPr>
        <w:t>发言人1 答：自疫情以来，主业经营趋势显著改善，从行业更新迭代和周期性角度来看，可以说已经摆脱了之前低谷期，进入良性发展阶段。公司正聚焦主航道行业和产品，高质量发展，注重提升毛利率、现金流及精细化管理。虽然行业从大规模建设转向精细化运营，但智能化应用带来了新的需求增长点，尤其是在智能交通、智能制造、绿色能源等领域，公司正逐步走出行业周期，走向高质量发展阶段。</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2026-08-16T01:55:30Z</dcterms:created>
  <dc:creator>Apache POI</dc:creator>
</cp:coreProperties>
</file>