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pStyle w:val="ac"/>
      </w:pPr>
      <w:r>
        <w:t>地产链双周会-北京再出楼市新政，地产链机会几何？ 260814_导读</w:t>
      </w:r>
    </w:p>
    <w:p>
      <w:pPr>
        <w:pStyle w:val="a0"/>
        <w:jc w:val="center"/>
      </w:pPr>
      <w:r>
        <w:t>2026年08月16日 09:51</w:t>
      </w:r>
    </w:p>
    <w:p>
      <w:pPr>
        <w:pStyle w:val="a7"/>
      </w:pPr>
      <w:r>
        <w:t>关键词</w:t>
      </w:r>
    </w:p>
    <w:p>
      <w:r>
        <w:rPr>
          <w:rFonts w:ascii="等线(中文正文)" w:hAnsi="等线(中文正文)" w:cs="等线(中文正文)" w:eastAsia="等线(中文正文)"/>
          <w:b w:val="false"/>
          <w:i w:val="false"/>
          <w:sz w:val="20"/>
        </w:rPr>
        <w:t xml:space="preserve">房地产 北京 楼市新政 政策预期 降息 贴息 二手房 核心城市 建材 减值 水泥 玻璃 库存 收并购 品牌 消费建材 东方雨虹 宏观经济环境 金融资额 城投债 </w:t>
      </w:r>
    </w:p>
    <w:p>
      <w:r>
        <w:rPr>
          <w:rFonts w:ascii="等线(中文正文)" w:hAnsi="等线(中文正文)" w:cs="等线(中文正文)" w:eastAsia="等线(中文正文)"/>
          <w:b w:val="false"/>
          <w:i w:val="false"/>
          <w:sz w:val="20"/>
        </w:rPr>
        <w:t/>
      </w:r>
    </w:p>
    <w:p>
      <w:pPr>
        <w:pStyle w:val="a7"/>
      </w:pPr>
      <w:r>
        <w:t>全文摘要</w:t>
      </w:r>
    </w:p>
    <w:p>
      <w:r>
        <w:rPr>
          <w:rFonts w:ascii="等线(中文正文)" w:hAnsi="等线(中文正文)" w:cs="等线(中文正文)" w:eastAsia="等线(中文正文)"/>
          <w:b w:val="false"/>
          <w:i w:val="false"/>
          <w:sz w:val="20"/>
        </w:rPr>
        <w:t>近期，四位行业专家就房地产市场、银行、建筑建材及家居板块展开了深入讨论。房地产市场在经历一系列政策调整后，专家认为新的催化剂如北京的楼市新政，有助于提振市场预期，尤其是在一线城市稳定的基础上，可能加速房价上涨。建筑行业面临挑战，资金到位率不足成为主要问题，而家居行业则因政策补贴及消费升级展现出积极态势。银行分析师指出，居民负债与存款的变化对房地产市场有重要影响，市场正经历“K型”分化，强调居民资产积累对市场的关键作用。整体来看，尽管面临多重挑战，专家对市场持乐观态度，认为政策支持为部分领域带来了发展机遇。</w:t>
      </w:r>
    </w:p>
    <w:p>
      <w:r>
        <w:rPr>
          <w:rFonts w:ascii="等线(中文正文)" w:hAnsi="等线(中文正文)" w:cs="等线(中文正文)" w:eastAsia="等线(中文正文)"/>
          <w:b w:val="false"/>
          <w:i w:val="false"/>
          <w:sz w:val="20"/>
        </w:rPr>
        <w:t/>
      </w:r>
    </w:p>
    <w:p>
      <w:pPr>
        <w:pStyle w:val="a7"/>
      </w:pPr>
      <w:r>
        <w:t>章节速览</w:t>
      </w:r>
    </w:p>
    <w:p>
      <w:pPr>
        <w:pStyle w:val="ab"/>
        <w:numPr>
          <w:numId w:val="1"/>
        </w:numPr>
      </w:pPr>
      <w:r>
        <w:t>00:00 北京楼市新政与地产链双周会：政策预期与市场影响</w:t>
      </w:r>
    </w:p>
    <w:p>
      <w:r>
        <w:rPr>
          <w:rFonts w:ascii="等线(中文正文)" w:hAnsi="等线(中文正文)" w:cs="等线(中文正文)" w:eastAsia="等线(中文正文)"/>
          <w:b w:val="false"/>
          <w:i w:val="false"/>
          <w:sz w:val="20"/>
        </w:rPr>
        <w:t>对话围绕北京楼市新政展开，指出该政策在预期引导方面的重要性，尤其是在北京、上海、深圳三地供给侧出清、房价预期好转的微妙阶段。新政调整了非本地户籍家庭购房社保年限及公积金贷款额度，虽刺激作用有限，但对改善需求预期有积极作用。市场需更多基本面数据支持以增强信心，未来一两周的数据表现将关键。</w:t>
      </w:r>
    </w:p>
    <w:p>
      <w:r>
        <w:rPr>
          <w:rFonts w:ascii="等线(中文正文)" w:hAnsi="等线(中文正文)" w:cs="等线(中文正文)" w:eastAsia="等线(中文正文)"/>
          <w:b w:val="false"/>
          <w:i w:val="false"/>
          <w:sz w:val="20"/>
        </w:rPr>
        <w:t/>
      </w:r>
    </w:p>
    <w:p>
      <w:pPr>
        <w:pStyle w:val="ab"/>
        <w:numPr>
          <w:numId w:val="2"/>
        </w:numPr>
      </w:pPr>
      <w:r>
        <w:t>03:14 降息贴息政策对不同城市房地产市场的影响分析</w:t>
      </w:r>
    </w:p>
    <w:p>
      <w:r>
        <w:rPr>
          <w:rFonts w:ascii="等线(中文正文)" w:hAnsi="等线(中文正文)" w:cs="等线(中文正文)" w:eastAsia="等线(中文正文)"/>
          <w:b w:val="false"/>
          <w:i w:val="false"/>
          <w:sz w:val="20"/>
        </w:rPr>
        <w:t>在多数城市解除限购、首付比例降低、住房收储等政策背景下，进一步的政策支持空间主要集中在降息或贴息上。对于北上深等房价已趋于稳定的市场，此类政策可能加速房价上涨；而对于供需结构未稳定的城市，降息或贴息难以有效驱动观望需求入市，市场改善可能受限于供给力量。</w:t>
      </w:r>
    </w:p>
    <w:p>
      <w:r>
        <w:rPr>
          <w:rFonts w:ascii="等线(中文正文)" w:hAnsi="等线(中文正文)" w:cs="等线(中文正文)" w:eastAsia="等线(中文正文)"/>
          <w:b w:val="false"/>
          <w:i w:val="false"/>
          <w:sz w:val="20"/>
        </w:rPr>
        <w:t/>
      </w:r>
    </w:p>
    <w:p>
      <w:pPr>
        <w:pStyle w:val="ab"/>
        <w:numPr>
          <w:numId w:val="3"/>
        </w:numPr>
      </w:pPr>
      <w:r>
        <w:t>05:56 房地产市场现状与政策预期分析</w:t>
      </w:r>
    </w:p>
    <w:p>
      <w:r>
        <w:rPr>
          <w:rFonts w:ascii="等线(中文正文)" w:hAnsi="等线(中文正文)" w:cs="等线(中文正文)" w:eastAsia="等线(中文正文)"/>
          <w:b w:val="false"/>
          <w:i w:val="false"/>
          <w:sz w:val="20"/>
        </w:rPr>
        <w:t>对话深入探讨了当前房地产市场的供需结构与政策预期，指出核心城市房价稳定，其余城市缓跌，市场成交节奏良好。政策层面，加强供给控制被视为扭转供需结构的有效手段，市场期待催化剂以促进头部城市企稳转涨及扩大企稳城市范围。九月中下旬被视为政策博弈的关键窗口，板块推荐侧重于短期销售预期好及中期成长性的标的，同时关注业绩超跌标的的补涨机会。</w:t>
      </w:r>
    </w:p>
    <w:p>
      <w:r>
        <w:rPr>
          <w:rFonts w:ascii="等线(中文正文)" w:hAnsi="等线(中文正文)" w:cs="等线(中文正文)" w:eastAsia="等线(中文正文)"/>
          <w:b w:val="false"/>
          <w:i w:val="false"/>
          <w:sz w:val="20"/>
        </w:rPr>
        <w:t/>
      </w:r>
    </w:p>
    <w:p>
      <w:pPr>
        <w:pStyle w:val="ab"/>
        <w:numPr>
          <w:numId w:val="4"/>
        </w:numPr>
      </w:pPr>
      <w:r>
        <w:t>10:21 建材与建筑行业现状及未来趋势分析</w:t>
      </w:r>
    </w:p>
    <w:p>
      <w:r>
        <w:rPr>
          <w:rFonts w:ascii="等线(中文正文)" w:hAnsi="等线(中文正文)" w:cs="等线(中文正文)" w:eastAsia="等线(中文正文)"/>
          <w:b w:val="false"/>
          <w:i w:val="false"/>
          <w:sz w:val="20"/>
        </w:rPr>
        <w:t>从基本面数据看，建材行业二季度需求明显下降，工程层面发货量疲软，价格传导压力大，减值对利润侵蚀显著。推荐关注消费建材龙头如东方雨虹等。水泥和玻璃行业库存高企，产能利用率低，供需失衡。建筑行业受宏观经济及消费观念变化影响，二手房交易量对存量翻新需求指引减弱，整体需求疲软。未来需关注宏观经济环境变化及行业政策调整。</w:t>
      </w:r>
    </w:p>
    <w:p>
      <w:r>
        <w:rPr>
          <w:rFonts w:ascii="等线(中文正文)" w:hAnsi="等线(中文正文)" w:cs="等线(中文正文)" w:eastAsia="等线(中文正文)"/>
          <w:b w:val="false"/>
          <w:i w:val="false"/>
          <w:sz w:val="20"/>
        </w:rPr>
        <w:t/>
      </w:r>
    </w:p>
    <w:p>
      <w:pPr>
        <w:pStyle w:val="ab"/>
        <w:numPr>
          <w:numId w:val="5"/>
        </w:numPr>
      </w:pPr>
      <w:r>
        <w:t>14:25 建筑行业资金压力与出海趋势分析</w:t>
      </w:r>
    </w:p>
    <w:p>
      <w:r>
        <w:rPr>
          <w:rFonts w:ascii="等线(中文正文)" w:hAnsi="等线(中文正文)" w:cs="等线(中文正文)" w:eastAsia="等线(中文正文)"/>
          <w:b w:val="false"/>
          <w:i w:val="false"/>
          <w:sz w:val="20"/>
        </w:rPr>
        <w:t>对话分析了建筑行业自二季度起面临的资金到位率不足问题，导致工程开工率下降，以及由此引发的收入和利润下滑。建议关注出海方向，因海外项目毛利率较高且回款严格，减少资金占用。推荐关注分红稳健的高股息标的及海外成长性好的公司。</w:t>
      </w:r>
    </w:p>
    <w:p>
      <w:r>
        <w:rPr>
          <w:rFonts w:ascii="等线(中文正文)" w:hAnsi="等线(中文正文)" w:cs="等线(中文正文)" w:eastAsia="等线(中文正文)"/>
          <w:b w:val="false"/>
          <w:i w:val="false"/>
          <w:sz w:val="20"/>
        </w:rPr>
        <w:t/>
      </w:r>
    </w:p>
    <w:p>
      <w:pPr>
        <w:pStyle w:val="ab"/>
        <w:numPr>
          <w:numId w:val="6"/>
        </w:numPr>
      </w:pPr>
      <w:r>
        <w:t>17:45 家居板块复苏与政策补贴影响分析</w:t>
      </w:r>
    </w:p>
    <w:p>
      <w:r>
        <w:rPr>
          <w:rFonts w:ascii="等线(中文正文)" w:hAnsi="等线(中文正文)" w:cs="等线(中文正文)" w:eastAsia="等线(中文正文)"/>
          <w:b w:val="false"/>
          <w:i w:val="false"/>
          <w:sz w:val="20"/>
        </w:rPr>
        <w:t>报告探讨了北京楼市新政对家具订单的影响，特别是公积金提取装修补贴政策对家居行业集中度提升的作用，以及整装大家居战略的政策背书，预计下半年家居企业将迎来复苏。</w:t>
      </w:r>
    </w:p>
    <w:p>
      <w:r>
        <w:rPr>
          <w:rFonts w:ascii="等线(中文正文)" w:hAnsi="等线(中文正文)" w:cs="等线(中文正文)" w:eastAsia="等线(中文正文)"/>
          <w:b w:val="false"/>
          <w:i w:val="false"/>
          <w:sz w:val="20"/>
        </w:rPr>
        <w:t/>
      </w:r>
    </w:p>
    <w:p>
      <w:pPr>
        <w:pStyle w:val="ab"/>
        <w:numPr>
          <w:numId w:val="7"/>
        </w:numPr>
      </w:pPr>
      <w:r>
        <w:t>20:46 2026年家居国补政策：智能家居与适老化产品成为新焦点</w:t>
      </w:r>
    </w:p>
    <w:p>
      <w:r>
        <w:rPr>
          <w:rFonts w:ascii="等线(中文正文)" w:hAnsi="等线(中文正文)" w:cs="等线(中文正文)" w:eastAsia="等线(中文正文)"/>
          <w:b w:val="false"/>
          <w:i w:val="false"/>
          <w:sz w:val="20"/>
        </w:rPr>
        <w:t>2026年的家居国补政策聚焦于智能家居和适老化产品，不再涵盖定制和软体等传统家装消费，补贴覆盖六类家电和四类数码产品，部分省份已将智能门锁、智能马桶等纳入补贴范围，补贴比例为售价的15%，最高1500元，显示出政策向智能化和功能化发展的趋势，强化了软件行业在横向比较中的相对优势。</w:t>
      </w:r>
    </w:p>
    <w:p>
      <w:r>
        <w:rPr>
          <w:rFonts w:ascii="等线(中文正文)" w:hAnsi="等线(中文正文)" w:cs="等线(中文正文)" w:eastAsia="等线(中文正文)"/>
          <w:b w:val="false"/>
          <w:i w:val="false"/>
          <w:sz w:val="20"/>
        </w:rPr>
        <w:t/>
      </w:r>
    </w:p>
    <w:p>
      <w:pPr>
        <w:pStyle w:val="ab"/>
        <w:numPr>
          <w:numId w:val="8"/>
        </w:numPr>
      </w:pPr>
      <w:r>
        <w:t>21:58 家居订单趋势分析：定制与软体市场对比</w:t>
      </w:r>
    </w:p>
    <w:p>
      <w:r>
        <w:rPr>
          <w:rFonts w:ascii="等线(中文正文)" w:hAnsi="等线(中文正文)" w:cs="等线(中文正文)" w:eastAsia="等线(中文正文)"/>
          <w:b w:val="false"/>
          <w:i w:val="false"/>
          <w:sz w:val="20"/>
        </w:rPr>
        <w:t>上半年家居订单受国补高基数影响，定制家居因与新房竣工紧密相关，面临较大压力，呈现双位数下滑。相比之下，软体家居因更新周期短、与二手房交易关联性强及产品智能化趋势，订单下滑幅度较小。行业正经历洗牌，头部企业集中度提升，具备组织和运营能力的企业有望在未来市场中获取更多订单。</w:t>
      </w:r>
    </w:p>
    <w:p>
      <w:r>
        <w:rPr>
          <w:rFonts w:ascii="等线(中文正文)" w:hAnsi="等线(中文正文)" w:cs="等线(中文正文)" w:eastAsia="等线(中文正文)"/>
          <w:b w:val="false"/>
          <w:i w:val="false"/>
          <w:sz w:val="20"/>
        </w:rPr>
        <w:t/>
      </w:r>
    </w:p>
    <w:p>
      <w:pPr>
        <w:pStyle w:val="ab"/>
        <w:numPr>
          <w:numId w:val="9"/>
        </w:numPr>
      </w:pPr>
      <w:r>
        <w:t>23:41 家居企业财报分析与行业复苏展望</w:t>
      </w:r>
    </w:p>
    <w:p>
      <w:r>
        <w:rPr>
          <w:rFonts w:ascii="等线(中文正文)" w:hAnsi="等线(中文正文)" w:cs="等线(中文正文)" w:eastAsia="等线(中文正文)"/>
          <w:b w:val="false"/>
          <w:i w:val="false"/>
          <w:sz w:val="20"/>
        </w:rPr>
        <w:t>上半年家居企业面临压力，利润下滑约五成，但7月起行业或迎低基数复苏。定制企业收入至确认需3-6月，利润端修复弹性大于收入。行业大背景中，新开工和竣工下滑，但销售降幅边际收窄，价格战收敛，客单价企稳。家居龙头市盈率低，分红保障市值，机构持仓低位。下半年政策利好与供给端变化，行业洗牌加速，集中度提升。建议围绕分红收益和估值修复，以及业绩恢复弹性两条主线布局，关注中报后订单改善情况择机布局。</w:t>
      </w:r>
    </w:p>
    <w:p>
      <w:r>
        <w:rPr>
          <w:rFonts w:ascii="等线(中文正文)" w:hAnsi="等线(中文正文)" w:cs="等线(中文正文)" w:eastAsia="等线(中文正文)"/>
          <w:b w:val="false"/>
          <w:i w:val="false"/>
          <w:sz w:val="20"/>
        </w:rPr>
        <w:t/>
      </w:r>
    </w:p>
    <w:p>
      <w:pPr>
        <w:pStyle w:val="ab"/>
        <w:numPr>
          <w:numId w:val="10"/>
        </w:numPr>
      </w:pPr>
      <w:r>
        <w:t>27:44 居民资产负债表视角下的房地产市场分析</w:t>
      </w:r>
    </w:p>
    <w:p>
      <w:r>
        <w:rPr>
          <w:rFonts w:ascii="等线(中文正文)" w:hAnsi="等线(中文正文)" w:cs="等线(中文正文)" w:eastAsia="等线(中文正文)"/>
          <w:b w:val="false"/>
          <w:i w:val="false"/>
          <w:sz w:val="20"/>
        </w:rPr>
        <w:t>从居民存款贷款动态出发，分析了居民存款高增长与负债增速下行的剪刀差现象，揭示了房地产市场资金流出的趋势。具体表现为按揭贷款与房地产企业开发贷款的增速均处于负增长，居民中长期及短期贷款增量均弱于预期，尤其长三角、珠三角等经济活跃区住房贷款显著下降。同时，居民选择提前还贷，风险偏好降低，即使房贷利率下调也更倾向于使用储蓄购房，体现了居民对经济前景的谨慎态度。</w:t>
      </w:r>
    </w:p>
    <w:p>
      <w:r>
        <w:rPr>
          <w:rFonts w:ascii="等线(中文正文)" w:hAnsi="等线(中文正文)" w:cs="等线(中文正文)" w:eastAsia="等线(中文正文)"/>
          <w:b w:val="false"/>
          <w:i w:val="false"/>
          <w:sz w:val="20"/>
        </w:rPr>
        <w:t/>
      </w:r>
    </w:p>
    <w:p>
      <w:pPr>
        <w:pStyle w:val="ab"/>
        <w:numPr>
          <w:numId w:val="11"/>
        </w:numPr>
      </w:pPr>
      <w:r>
        <w:t>31:27 居民资产修复与房地产市场关系分析</w:t>
      </w:r>
    </w:p>
    <w:p>
      <w:r>
        <w:rPr>
          <w:rFonts w:ascii="等线(中文正文)" w:hAnsi="等线(中文正文)" w:cs="等线(中文正文)" w:eastAsia="等线(中文正文)"/>
          <w:b w:val="false"/>
          <w:i w:val="false"/>
          <w:sz w:val="20"/>
        </w:rPr>
        <w:t>对话探讨了居民资产修复与房地产市场之间的关系，指出2025年居民净资产增长主要依赖于存款增加而非房地产市值上涨。重点城市如北京、上海等房价企稳与居民存款增长密切相关，反映了经济活跃地区收入较高。整体趋势显示，居民购房贷款倾向下降，存款积累成为资产修复的主要驱动力。未来贷款数据将进一步揭示这一趋势。</w:t>
      </w:r>
    </w:p>
    <w:p>
      <w:r>
        <w:rPr>
          <w:rFonts w:ascii="等线(中文正文)" w:hAnsi="等线(中文正文)" w:cs="等线(中文正文)" w:eastAsia="等线(中文正文)"/>
          <w:b w:val="false"/>
          <w:i w:val="false"/>
          <w:sz w:val="20"/>
        </w:rPr>
        <w:t/>
      </w:r>
    </w:p>
    <w:p>
      <w:pPr>
        <w:pStyle w:val="a7"/>
      </w:pPr>
      <w:r>
        <w:t>发言总结</w:t>
      </w:r>
    </w:p>
    <w:p>
      <w:pPr>
        <w:pStyle w:val="ab"/>
        <w:numPr>
          <w:numId w:val="12"/>
        </w:numPr>
      </w:pPr>
      <w:r>
        <w:t>发言人1</w:t>
      </w:r>
    </w:p>
    <w:p>
      <w:r>
        <w:rPr>
          <w:rFonts w:ascii="等线(中文正文)" w:hAnsi="等线(中文正文)" w:cs="等线(中文正文)" w:eastAsia="等线(中文正文)"/>
          <w:b w:val="false"/>
          <w:i w:val="false"/>
          <w:sz w:val="20"/>
        </w:rPr>
        <w:t>他，即中央的房地产分析师李浩，在汇报会上深入分析了今年年初以来房地产市场及上下游产业链的变化，特别是北京楼市新政的影响。他详细讨论了房地产板块的最新观点，指出北京楼市新政对市场预期的潜在影响，包括对房地产市场的潜在调整和市场预期的变化。此外，李浩还探讨了建材行业需求疲软和建筑行业面临的问题，以及家居行业在政策刺激下的可能复苏。从金融视角，他分析了房地产市场动态，强调居民存款增长与负债减少的差异导致的对房地产市场的不同看法。尽管面临挑战，李浩认为房地产及关联行业仍存在投资机会，建议投资者关注特定的市场动态和政策变化。</w:t>
      </w:r>
    </w:p>
    <w:p>
      <w:r>
        <w:rPr>
          <w:rFonts w:ascii="等线(中文正文)" w:hAnsi="等线(中文正文)" w:cs="等线(中文正文)" w:eastAsia="等线(中文正文)"/>
          <w:b w:val="false"/>
          <w:i w:val="false"/>
          <w:sz w:val="20"/>
        </w:rPr>
        <w:t/>
      </w:r>
    </w:p>
    <w:p>
      <w:pPr>
        <w:pStyle w:val="a7"/>
      </w:pPr>
      <w:r>
        <w:t>问答回顾</w:t>
      </w:r>
    </w:p>
    <w:p>
      <w:pPr>
        <w:pStyle w:val="ab"/>
      </w:pPr>
      <w:r>
        <w:t>发言人1 问：本次电话会的主题是什么，为什么需要定期汇报？</w:t>
      </w:r>
    </w:p>
    <w:p>
      <w:r>
        <w:rPr>
          <w:rFonts w:ascii="等线(中文正文)" w:hAnsi="等线(中文正文)" w:cs="等线(中文正文)" w:eastAsia="等线(中文正文)"/>
          <w:b w:val="false"/>
          <w:i w:val="false"/>
          <w:sz w:val="20"/>
        </w:rPr>
        <w:t>发言人1 答：本次电话会的主题是地产链的双周会，我们选择定期汇报是因为年初以来有两个显著变化：一是部分城市房价开始走稳，预示着周期拐点出现；二是资金面风格逐渐从单一转向多元，传统板块出现投资机会。因此，为了及时与投资者分享这些重要观点，我们决定以更频繁的频率进行汇报。</w:t>
      </w:r>
    </w:p>
    <w:p>
      <w:r>
        <w:rPr>
          <w:rFonts w:ascii="等线(中文正文)" w:hAnsi="等线(中文正文)" w:cs="等线(中文正文)" w:eastAsia="等线(中文正文)"/>
          <w:b w:val="false"/>
          <w:i w:val="false"/>
          <w:sz w:val="20"/>
        </w:rPr>
        <w:t/>
      </w:r>
    </w:p>
    <w:p>
      <w:pPr>
        <w:pStyle w:val="ab"/>
      </w:pPr>
      <w:r>
        <w:t>发言人1 问：北京楼市新政的内容及其影响如何？</w:t>
      </w:r>
    </w:p>
    <w:p>
      <w:r>
        <w:rPr>
          <w:rFonts w:ascii="等线(中文正文)" w:hAnsi="等线(中文正文)" w:cs="等线(中文正文)" w:eastAsia="等线(中文正文)"/>
          <w:b w:val="false"/>
          <w:i w:val="false"/>
          <w:sz w:val="20"/>
        </w:rPr>
        <w:t>发言人1 答：北京近期出台的楼市新政是对上海和深圳等头部城市的政策追评，调整后非本地户籍家庭在核心区购房的社保年限降至一年，与上海、深圳持平，并且公积金贷款额度也有所提升。这次调整的意义主要在于预期引导作用，而非直接刺激大量需求。它可能促使北京市场进入供需平衡状态，增强需求力量，有助于市场正循环的形成。</w:t>
      </w:r>
    </w:p>
    <w:p>
      <w:r>
        <w:rPr>
          <w:rFonts w:ascii="等线(中文正文)" w:hAnsi="等线(中文正文)" w:cs="等线(中文正文)" w:eastAsia="等线(中文正文)"/>
          <w:b w:val="false"/>
          <w:i w:val="false"/>
          <w:sz w:val="20"/>
        </w:rPr>
        <w:t/>
      </w:r>
    </w:p>
    <w:p>
      <w:pPr>
        <w:pStyle w:val="ab"/>
      </w:pPr>
      <w:r>
        <w:t>发言人1 问：当前市场环境下，政策对预期的影响有多大？</w:t>
      </w:r>
    </w:p>
    <w:p>
      <w:r>
        <w:rPr>
          <w:rFonts w:ascii="等线(中文正文)" w:hAnsi="等线(中文正文)" w:cs="等线(中文正文)" w:eastAsia="等线(中文正文)"/>
          <w:b w:val="false"/>
          <w:i w:val="false"/>
          <w:sz w:val="20"/>
        </w:rPr>
        <w:t>发言人1 答：在当前比较有利的市场环境中，尽管政策调整频次较多，但单个政策对预期的影响可能有限。不过，本次北京楼市新政有可能带动预期向好，不过需要基本面数据的支持才能增强信心。接下来一两周的数据表现将非常关键。</w:t>
      </w:r>
    </w:p>
    <w:p>
      <w:r>
        <w:rPr>
          <w:rFonts w:ascii="等线(中文正文)" w:hAnsi="等线(中文正文)" w:cs="等线(中文正文)" w:eastAsia="等线(中文正文)"/>
          <w:b w:val="false"/>
          <w:i w:val="false"/>
          <w:sz w:val="20"/>
        </w:rPr>
        <w:t/>
      </w:r>
    </w:p>
    <w:p>
      <w:pPr>
        <w:pStyle w:val="ab"/>
      </w:pPr>
      <w:r>
        <w:t>发言人1 问：在当前限购政策已相对宽松的情况下，未来可能采取何种进一步的政策支持措施？</w:t>
      </w:r>
    </w:p>
    <w:p>
      <w:r>
        <w:rPr>
          <w:rFonts w:ascii="等线(中文正文)" w:hAnsi="等线(中文正文)" w:cs="等线(中文正文)" w:eastAsia="等线(中文正文)"/>
          <w:b w:val="false"/>
          <w:i w:val="false"/>
          <w:sz w:val="20"/>
        </w:rPr>
        <w:t>发言人1 答：在大部分城市已解除限购或降低首付比例的背景下，市场期待的进一步政策支持可能集中在降息或贴息等方面。对于房价已经企稳的城市如北京上海，降息或贴息政策会降低购房融资成本，吸引更多租房者入市，从而推动房价更快上涨。而对于供需结构尚未改善的城市，则难以有效刺激观望需求入市，因此这类政策可能更多地推动部分城市房价从稳转为上涨，但扭转整体供需结构较为困难。</w:t>
      </w:r>
    </w:p>
    <w:p>
      <w:r>
        <w:rPr>
          <w:rFonts w:ascii="等线(中文正文)" w:hAnsi="等线(中文正文)" w:cs="等线(中文正文)" w:eastAsia="等线(中文正文)"/>
          <w:b w:val="false"/>
          <w:i w:val="false"/>
          <w:sz w:val="20"/>
        </w:rPr>
        <w:t/>
      </w:r>
    </w:p>
    <w:p>
      <w:pPr>
        <w:pStyle w:val="ab"/>
      </w:pPr>
      <w:r>
        <w:t>发言人1 问：在当前房地产市场现状中，交易量的情况如何？</w:t>
      </w:r>
    </w:p>
    <w:p>
      <w:r>
        <w:rPr>
          <w:rFonts w:ascii="等线(中文正文)" w:hAnsi="等线(中文正文)" w:cs="等线(中文正文)" w:eastAsia="等线(中文正文)"/>
          <w:b w:val="false"/>
          <w:i w:val="false"/>
          <w:sz w:val="20"/>
        </w:rPr>
        <w:t>发言人1 答：从交易量的角度看，最近确实出现了季节性环比走弱的现象，但新房方面受到供货结构的影响，整体市场温度并未明显降温。具体表现为：(1) 房企反馈显示，楼盘销售速度整体仍保持一定热度，降温趋势不明显；(2) 新房市场连续四个月同比为正，且绝对水平高于去年下半年水平。</w:t>
      </w:r>
    </w:p>
    <w:p>
      <w:r>
        <w:rPr>
          <w:rFonts w:ascii="等线(中文正文)" w:hAnsi="等线(中文正文)" w:cs="等线(中文正文)" w:eastAsia="等线(中文正文)"/>
          <w:b w:val="false"/>
          <w:i w:val="false"/>
          <w:sz w:val="20"/>
        </w:rPr>
        <w:t/>
      </w:r>
    </w:p>
    <w:p>
      <w:pPr>
        <w:pStyle w:val="ab"/>
      </w:pPr>
      <w:r>
        <w:t>发言人1 问：当前房价走势如何？</w:t>
      </w:r>
    </w:p>
    <w:p>
      <w:r>
        <w:rPr>
          <w:rFonts w:ascii="等线(中文正文)" w:hAnsi="等线(中文正文)" w:cs="等线(中文正文)" w:eastAsia="等线(中文正文)"/>
          <w:b w:val="false"/>
          <w:i w:val="false"/>
          <w:sz w:val="20"/>
        </w:rPr>
        <w:t>发言人1 答：目前房价延续了核心城市稳定、其余城市缓跌的态度。其中，北京、上海二手房价格已进入连续下行区间，供给侧出清特征明显，供需结构持续优化；深圳虽高于该区间，但由于二二手房覆盖率扩大的影响，实际差距并不像数据表现得那么明显。整体来看，房价平稳，部分城市跌幅较去年下半年有所收窄。</w:t>
      </w:r>
    </w:p>
    <w:p>
      <w:r>
        <w:rPr>
          <w:rFonts w:ascii="等线(中文正文)" w:hAnsi="等线(中文正文)" w:cs="等线(中文正文)" w:eastAsia="等线(中文正文)"/>
          <w:b w:val="false"/>
          <w:i w:val="false"/>
          <w:sz w:val="20"/>
        </w:rPr>
        <w:t/>
      </w:r>
    </w:p>
    <w:p>
      <w:pPr>
        <w:pStyle w:val="ab"/>
      </w:pPr>
      <w:r>
        <w:t>发言人1 问：市场目前缺少什么？</w:t>
      </w:r>
    </w:p>
    <w:p>
      <w:r>
        <w:rPr>
          <w:rFonts w:ascii="等线(中文正文)" w:hAnsi="等线(中文正文)" w:cs="等线(中文正文)" w:eastAsia="等线(中文正文)"/>
          <w:b w:val="false"/>
          <w:i w:val="false"/>
          <w:sz w:val="20"/>
        </w:rPr>
        <w:t>发言人1 答：市场目前缺乏一个催化剂，以实现两点效果：一是让先期企稳的城市如北京、上海能够实现量的增长；二是进一步扩大企稳城市的范围。</w:t>
      </w:r>
    </w:p>
    <w:p>
      <w:r>
        <w:rPr>
          <w:rFonts w:ascii="等线(中文正文)" w:hAnsi="等线(中文正文)" w:cs="等线(中文正文)" w:eastAsia="等线(中文正文)"/>
          <w:b w:val="false"/>
          <w:i w:val="false"/>
          <w:sz w:val="20"/>
        </w:rPr>
        <w:t/>
      </w:r>
    </w:p>
    <w:p>
      <w:pPr>
        <w:pStyle w:val="ab"/>
      </w:pPr>
      <w:r>
        <w:t>发言人1 问：如何达到这两种效果？</w:t>
      </w:r>
    </w:p>
    <w:p>
      <w:r>
        <w:rPr>
          <w:rFonts w:ascii="等线(中文正文)" w:hAnsi="等线(中文正文)" w:cs="等线(中文正文)" w:eastAsia="等线(中文正文)"/>
          <w:b w:val="false"/>
          <w:i w:val="false"/>
          <w:sz w:val="20"/>
        </w:rPr>
        <w:t>发言人1 答：想要达到这两种效果，可以通过时间自然实现，但如果有政策支持，进程可能会被加速，尤其是促使头部城市由稳转涨的概率会更高。建议关注九月前后政策博弈密集的时间点，并逐步加强对于地产板块的关注度。</w:t>
      </w:r>
    </w:p>
    <w:p>
      <w:r>
        <w:rPr>
          <w:rFonts w:ascii="等线(中文正文)" w:hAnsi="等线(中文正文)" w:cs="等线(中文正文)" w:eastAsia="等线(中文正文)"/>
          <w:b w:val="false"/>
          <w:i w:val="false"/>
          <w:sz w:val="20"/>
        </w:rPr>
        <w:t/>
      </w:r>
    </w:p>
    <w:p>
      <w:pPr>
        <w:pStyle w:val="ab"/>
      </w:pPr>
      <w:r>
        <w:t>发言人1 问：地产板块的推荐顺序是什么？</w:t>
      </w:r>
    </w:p>
    <w:p>
      <w:r>
        <w:rPr>
          <w:rFonts w:ascii="等线(中文正文)" w:hAnsi="等线(中文正文)" w:cs="等线(中文正文)" w:eastAsia="等线(中文正文)"/>
          <w:b w:val="false"/>
          <w:i w:val="false"/>
          <w:sz w:val="20"/>
        </w:rPr>
        <w:t>发言人1 答：优先推荐短期销售预期好且业绩兑现度高的标的，中期维度上，如果能跟随data有足够成长性的地产标的，如贝壳、华润、中海、金发国际和滨江等。同时，也提示关注部分业绩或经营表现超跌的标的，在贝塔启动时可能会有补涨的阶段弹性机会，比如绿中龙湖新城硅谷和保利置业。</w:t>
      </w:r>
    </w:p>
    <w:p>
      <w:r>
        <w:rPr>
          <w:rFonts w:ascii="等线(中文正文)" w:hAnsi="等线(中文正文)" w:cs="等线(中文正文)" w:eastAsia="等线(中文正文)"/>
          <w:b w:val="false"/>
          <w:i w:val="false"/>
          <w:sz w:val="20"/>
        </w:rPr>
        <w:t/>
      </w:r>
    </w:p>
    <w:p>
      <w:pPr>
        <w:pStyle w:val="ab"/>
      </w:pPr>
      <w:r>
        <w:t>发言人1 问：建筑建材板块的需求情况如何？</w:t>
      </w:r>
    </w:p>
    <w:p>
      <w:r>
        <w:rPr>
          <w:rFonts w:ascii="等线(中文正文)" w:hAnsi="等线(中文正文)" w:cs="等线(中文正文)" w:eastAsia="等线(中文正文)"/>
          <w:b w:val="false"/>
          <w:i w:val="false"/>
          <w:sz w:val="20"/>
        </w:rPr>
        <w:t>发言人1 答：建材板块今年二季度以来需求明显陡落，从价格维度看，由于原材料涨价，防水涂料等产品提价正常，但在工程层面，价格传导压力较大，发货量疲软；从业绩影响方面，建材企业的减值压力较大，项目开工情况和应收账款账期延长导致减值侵蚀利润，预计这一情况还将持续影响建材企业的业绩。</w:t>
      </w:r>
    </w:p>
    <w:p>
      <w:r>
        <w:rPr>
          <w:rFonts w:ascii="等线(中文正文)" w:hAnsi="等线(中文正文)" w:cs="等线(中文正文)" w:eastAsia="等线(中文正文)"/>
          <w:b w:val="false"/>
          <w:i w:val="false"/>
          <w:sz w:val="20"/>
        </w:rPr>
        <w:t/>
      </w:r>
    </w:p>
    <w:p>
      <w:pPr>
        <w:pStyle w:val="ab"/>
      </w:pPr>
      <w:r>
        <w:t>发言人1 问：对于建材行业的投资策略是什么？</w:t>
      </w:r>
    </w:p>
    <w:p>
      <w:r>
        <w:rPr>
          <w:rFonts w:ascii="等线(中文正文)" w:hAnsi="等线(中文正文)" w:cs="等线(中文正文)" w:eastAsia="等线(中文正文)"/>
          <w:b w:val="false"/>
          <w:i w:val="false"/>
          <w:sz w:val="20"/>
        </w:rPr>
        <w:t>发言人1 答：综合来看，目前对建材行业的推荐逻辑主要围绕龙头优势明显、在收并购和品牌方面突出的消费建材龙头，如东方雨虹、北京建材和三棵树等，它们可能受益于市场弹性较大。而对于水泥和玻璃行业，由于今年以来的压力较大，库存和跟踪率处于相对较低水平，吨毛利也接近十年低位，因此这些行业的投资逻辑相对较弱。</w:t>
      </w:r>
    </w:p>
    <w:p>
      <w:r>
        <w:rPr>
          <w:rFonts w:ascii="等线(中文正文)" w:hAnsi="等线(中文正文)" w:cs="等线(中文正文)" w:eastAsia="等线(中文正文)"/>
          <w:b w:val="false"/>
          <w:i w:val="false"/>
          <w:sz w:val="20"/>
        </w:rPr>
        <w:t/>
      </w:r>
    </w:p>
    <w:p>
      <w:pPr>
        <w:pStyle w:val="ab"/>
      </w:pPr>
      <w:r>
        <w:t>发言人1 问：从库存角度看，水泥行业的整体形势如何？玻璃行业的状况如何？</w:t>
      </w:r>
    </w:p>
    <w:p>
      <w:r>
        <w:rPr>
          <w:rFonts w:ascii="等线(中文正文)" w:hAnsi="等线(中文正文)" w:cs="等线(中文正文)" w:eastAsia="等线(中文正文)"/>
          <w:b w:val="false"/>
          <w:i w:val="false"/>
          <w:sz w:val="20"/>
        </w:rPr>
        <w:t>发言人1 答：从库存角度看，全国水泥库容比处于仅次于2002年的高位，并且从六月开始还在上升。这表明尽管今年水泥产能利用率有所收窄，但供给显著高于需求，行业压力较大。玻璃行业虽然产能有所收窄，但从产能利用率、库存及价格看，整体体现的是供给过剩的情况，与需求增长相比，供给压力依然较大。</w:t>
      </w:r>
    </w:p>
    <w:p>
      <w:r>
        <w:rPr>
          <w:rFonts w:ascii="等线(中文正文)" w:hAnsi="等线(中文正文)" w:cs="等线(中文正文)" w:eastAsia="等线(中文正文)"/>
          <w:b w:val="false"/>
          <w:i w:val="false"/>
          <w:sz w:val="20"/>
        </w:rPr>
        <w:t/>
      </w:r>
    </w:p>
    <w:p>
      <w:pPr>
        <w:pStyle w:val="ab"/>
      </w:pPr>
      <w:r>
        <w:t>发言人1 问：二手房交易量对建材需求的影响如何？</w:t>
      </w:r>
    </w:p>
    <w:p>
      <w:r>
        <w:rPr>
          <w:rFonts w:ascii="等线(中文正文)" w:hAnsi="等线(中文正文)" w:cs="等线(中文正文)" w:eastAsia="等线(中文正文)"/>
          <w:b w:val="false"/>
          <w:i w:val="false"/>
          <w:sz w:val="20"/>
        </w:rPr>
        <w:t>发言人1 答：虽然二手房交易量存在阶段性波动，但其对存量翻新需求的指引减弱，即买卖二手房并未直接带动加装翻新的需求，这与宏观经济环境和消费观念变化有关。因此，建材整体需求较为疲软。</w:t>
      </w:r>
    </w:p>
    <w:p>
      <w:r>
        <w:rPr>
          <w:rFonts w:ascii="等线(中文正文)" w:hAnsi="等线(中文正文)" w:cs="等线(中文正文)" w:eastAsia="等线(中文正文)"/>
          <w:b w:val="false"/>
          <w:i w:val="false"/>
          <w:sz w:val="20"/>
        </w:rPr>
        <w:t/>
      </w:r>
    </w:p>
    <w:p>
      <w:pPr>
        <w:pStyle w:val="ab"/>
      </w:pPr>
      <w:r>
        <w:t>发言人1 问：基建投资为何进入较大压力期？</w:t>
      </w:r>
    </w:p>
    <w:p>
      <w:r>
        <w:rPr>
          <w:rFonts w:ascii="等线(中文正文)" w:hAnsi="等线(中文正文)" w:cs="等线(中文正文)" w:eastAsia="等线(中文正文)"/>
          <w:b w:val="false"/>
          <w:i w:val="false"/>
          <w:sz w:val="20"/>
        </w:rPr>
        <w:t>发言人1 答：二季度开始，基建投资面临较大下降压力，主要原因是资金到位率不足。一季度专项债发行规模和融资额同比增长40%，但二季度同比下降36%，净融资额较去年二季度下降56%。</w:t>
      </w:r>
    </w:p>
    <w:p>
      <w:r>
        <w:rPr>
          <w:rFonts w:ascii="等线(中文正文)" w:hAnsi="等线(中文正文)" w:cs="等线(中文正文)" w:eastAsia="等线(中文正文)"/>
          <w:b w:val="false"/>
          <w:i w:val="false"/>
          <w:sz w:val="20"/>
        </w:rPr>
        <w:t/>
      </w:r>
    </w:p>
    <w:p>
      <w:pPr>
        <w:pStyle w:val="ab"/>
      </w:pPr>
      <w:r>
        <w:t>发言人1 问：当前地方财政及建筑公司的财务状况怎样？</w:t>
      </w:r>
    </w:p>
    <w:p>
      <w:r>
        <w:rPr>
          <w:rFonts w:ascii="等线(中文正文)" w:hAnsi="等线(中文正文)" w:cs="等线(中文正文)" w:eastAsia="等线(中文正文)"/>
          <w:b w:val="false"/>
          <w:i w:val="false"/>
          <w:sz w:val="20"/>
        </w:rPr>
        <w:t>发言人1 答：资金层面没有太多增量，城投债和一般债多为借新还旧，净融资额持续流出，导致地方财政压力较大。建筑公司在收入层面二季度可能出现数字下降，业绩压力更大，由于账期延长导致应收账款减值侵蚀利润，板块利润下降幅度约10%至20%。</w:t>
      </w:r>
    </w:p>
    <w:p>
      <w:r>
        <w:rPr>
          <w:rFonts w:ascii="等线(中文正文)" w:hAnsi="等线(中文正文)" w:cs="等线(中文正文)" w:eastAsia="等线(中文正文)"/>
          <w:b w:val="false"/>
          <w:i w:val="false"/>
          <w:sz w:val="20"/>
        </w:rPr>
        <w:t/>
      </w:r>
    </w:p>
    <w:p>
      <w:pPr>
        <w:pStyle w:val="ab"/>
      </w:pPr>
      <w:r>
        <w:t>发言人1 问：对于建筑公司的未来发展建议是什么？</w:t>
      </w:r>
    </w:p>
    <w:p>
      <w:r>
        <w:rPr>
          <w:rFonts w:ascii="等线(中文正文)" w:hAnsi="等线(中文正文)" w:cs="等线(中文正文)" w:eastAsia="等线(中文正文)"/>
          <w:b w:val="false"/>
          <w:i w:val="false"/>
          <w:sz w:val="20"/>
        </w:rPr>
        <w:t>发言人1 答：建议关注出海方向，海外工程项目的毛利率通常比国内项目高2至3个百分点，且回款严格按进度支付，资金占用较小。推荐逻辑主要包括两个方向：一是围绕分红相对稳健、高股息标的，如中国建筑、中国建筑国际和四川路桥；二是围绕出海方向，关注海外成长性较好的公司，如中泰国际和京东钢构。</w:t>
      </w:r>
    </w:p>
    <w:p>
      <w:r>
        <w:rPr>
          <w:rFonts w:ascii="等线(中文正文)" w:hAnsi="等线(中文正文)" w:cs="等线(中文正文)" w:eastAsia="等线(中文正文)"/>
          <w:b w:val="false"/>
          <w:i w:val="false"/>
          <w:sz w:val="20"/>
        </w:rPr>
        <w:t/>
      </w:r>
    </w:p>
    <w:p>
      <w:pPr>
        <w:pStyle w:val="ab"/>
      </w:pPr>
      <w:r>
        <w:t>发言人1 问：家居板块方面有哪些近期变化和趋势？</w:t>
      </w:r>
    </w:p>
    <w:p>
      <w:r>
        <w:rPr>
          <w:rFonts w:ascii="等线(中文正文)" w:hAnsi="等线(中文正文)" w:cs="等线(中文正文)" w:eastAsia="等线(中文正文)"/>
          <w:b w:val="false"/>
          <w:i w:val="false"/>
          <w:sz w:val="20"/>
        </w:rPr>
        <w:t>发言人1 答：北京本轮楼市新政中，限购放松、公积金提额等措施对今年年内家具订单拉动有限，但新增的装修提取政策将公积金注入装修环节，为存量房市场开辟了新的资金来源。该政策具有示范效应，多地已出台类似新政，资金将流向具备资质、能开发票并承接大额整装订单的规模企业，特别是整装能力全案交付的企业，如定制企业，可能优先受益。同时，政策将加速供给端出清，有助于行业整合和发展。</w:t>
      </w:r>
    </w:p>
    <w:p>
      <w:r>
        <w:rPr>
          <w:rFonts w:ascii="等线(中文正文)" w:hAnsi="等线(中文正文)" w:cs="等线(中文正文)" w:eastAsia="等线(中文正文)"/>
          <w:b w:val="false"/>
          <w:i w:val="false"/>
          <w:sz w:val="20"/>
        </w:rPr>
        <w:t/>
      </w:r>
    </w:p>
    <w:p>
      <w:pPr>
        <w:pStyle w:val="ab"/>
      </w:pPr>
      <w:r>
        <w:t>发言人1 问：在当前市场环境下，消费者是否会更倾向于选择正规企业提供的服务，即便价格较高？</w:t>
      </w:r>
    </w:p>
    <w:p>
      <w:r>
        <w:rPr>
          <w:rFonts w:ascii="等线(中文正文)" w:hAnsi="等线(中文正文)" w:cs="等线(中文正文)" w:eastAsia="等线(中文正文)"/>
          <w:b w:val="false"/>
          <w:i w:val="false"/>
          <w:sz w:val="20"/>
        </w:rPr>
        <w:t>发言人1 答：是的，消费者可能会倾向于选择正规企业，尽管报价较高，但由于可以使用公积金额度，实际支出未必会更高。这种需求的变化会导致从无资质分散供给向有资质规模化企业转移，从而推动家居行业的集中度提升。</w:t>
      </w:r>
    </w:p>
    <w:p>
      <w:r>
        <w:rPr>
          <w:rFonts w:ascii="等线(中文正文)" w:hAnsi="等线(中文正文)" w:cs="等线(中文正文)" w:eastAsia="等线(中文正文)"/>
          <w:b w:val="false"/>
          <w:i w:val="false"/>
          <w:sz w:val="20"/>
        </w:rPr>
        <w:t/>
      </w:r>
    </w:p>
    <w:p>
      <w:pPr>
        <w:pStyle w:val="ab"/>
      </w:pPr>
      <w:r>
        <w:t>发言人1 问：政策方面对家居行业有何影响？</w:t>
      </w:r>
    </w:p>
    <w:p>
      <w:r>
        <w:rPr>
          <w:rFonts w:ascii="等线(中文正文)" w:hAnsi="等线(中文正文)" w:cs="等线(中文正文)" w:eastAsia="等线(中文正文)"/>
          <w:b w:val="false"/>
          <w:i w:val="false"/>
          <w:sz w:val="20"/>
        </w:rPr>
        <w:t>发言人1 答：当前政策中，国补聚焦于智能家居和适老化产品。自2026年起，国补已将定制和软体家电排除在外，仅覆盖六类家电和四类数码产品，但允许地方自主制定结构性补贴政策，例如湖南已将智能门锁、智能马桶等十类智能家居产品纳入补贴范围，并按最终售价的15%给予补贴。</w:t>
      </w:r>
    </w:p>
    <w:p>
      <w:r>
        <w:rPr>
          <w:rFonts w:ascii="等线(中文正文)" w:hAnsi="等线(中文正文)" w:cs="等线(中文正文)" w:eastAsia="等线(中文正文)"/>
          <w:b w:val="false"/>
          <w:i w:val="false"/>
          <w:sz w:val="20"/>
        </w:rPr>
        <w:t/>
      </w:r>
    </w:p>
    <w:p>
      <w:pPr>
        <w:pStyle w:val="ab"/>
      </w:pPr>
      <w:r>
        <w:t>发言人1 问：与2024年相比，本轮家居补贴政策有何变化及受益方向？家居订单方面的情况如何？</w:t>
      </w:r>
    </w:p>
    <w:p>
      <w:r>
        <w:rPr>
          <w:rFonts w:ascii="等线(中文正文)" w:hAnsi="等线(中文正文)" w:cs="等线(中文正文)" w:eastAsia="等线(中文正文)"/>
          <w:b w:val="false"/>
          <w:i w:val="false"/>
          <w:sz w:val="20"/>
        </w:rPr>
        <w:t>发言人1 答：2024年的家居补贴更侧重于床垫、沙发等传统家居，而2026年的政策则更倾向于智能家电和适老化健康设备。因此，智能家居和适老化产品可能直接受益于这一政策调整，并与软件行业智能化、功能化发展趋势相契合。今年上半年，家居订单受到2025年高基数的影响，整体呈现双位数下滑趋势。其中，定制家居压力较大，与新房竣工和交付紧密相关，叠加高基数效应，下滑幅度更为明显。而软体家居订单下滑相对较小，原因在于其更新周期较短，与二手房交易和存量房换新关联性强，且产品正向智能化和功能化发展，加上可能存在的出口支撑，使得订单下滑幅度相对收敛。</w:t>
      </w:r>
    </w:p>
    <w:p>
      <w:r>
        <w:rPr>
          <w:rFonts w:ascii="等线(中文正文)" w:hAnsi="等线(中文正文)" w:cs="等线(中文正文)" w:eastAsia="等线(中文正文)"/>
          <w:b w:val="false"/>
          <w:i w:val="false"/>
          <w:sz w:val="20"/>
        </w:rPr>
        <w:t/>
      </w:r>
    </w:p>
    <w:p>
      <w:pPr>
        <w:pStyle w:val="ab"/>
      </w:pPr>
      <w:r>
        <w:t>发言人1 问：对于家居行业未来发展的看法？</w:t>
      </w:r>
    </w:p>
    <w:p>
      <w:r>
        <w:rPr>
          <w:rFonts w:ascii="等线(中文正文)" w:hAnsi="等线(中文正文)" w:cs="等线(中文正文)" w:eastAsia="等线(中文正文)"/>
          <w:b w:val="false"/>
          <w:i w:val="false"/>
          <w:sz w:val="20"/>
        </w:rPr>
        <w:t>发言人1 答：尽管新开工和竣工数据仍处于下滑阶段，但销售价格战边际收窄，家居客单价企稳回升。从财报表现看，今年可能是业绩摸底阶段，同时行业龙头企业的市盈率处于历史底部，且已落地分红为市值提供支撑。尽管利润下滑，但分红力度依然维持高位，体现出家居企业现金流质量优于利润表表现，具有一定的分红价值。</w:t>
      </w:r>
    </w:p>
    <w:p>
      <w:r>
        <w:rPr>
          <w:rFonts w:ascii="等线(中文正文)" w:hAnsi="等线(中文正文)" w:cs="等线(中文正文)" w:eastAsia="等线(中文正文)"/>
          <w:b w:val="false"/>
          <w:i w:val="false"/>
          <w:sz w:val="20"/>
        </w:rPr>
        <w:t/>
      </w:r>
    </w:p>
    <w:p>
      <w:pPr>
        <w:pStyle w:val="ab"/>
      </w:pPr>
      <w:r>
        <w:t>发言人1 问：从行业供给侧看，市场正发生何种变化？</w:t>
      </w:r>
    </w:p>
    <w:p>
      <w:r>
        <w:rPr>
          <w:rFonts w:ascii="等线(中文正文)" w:hAnsi="等线(中文正文)" w:cs="等线(中文正文)" w:eastAsia="等线(中文正文)"/>
          <w:b w:val="false"/>
          <w:i w:val="false"/>
          <w:sz w:val="20"/>
        </w:rPr>
        <w:t>发言人1 答：行业供给侧正在加速出清和洗牌，抗风险能力较弱的中腰部企业正逐步转型，行业集中度向财务稳健、品牌力强的头部企业集中。在需求真正迎来反转时，具备组织和运营能力的企业可能获取未来价值订单的核心优势。</w:t>
      </w:r>
    </w:p>
    <w:p>
      <w:r>
        <w:rPr>
          <w:rFonts w:ascii="等线(中文正文)" w:hAnsi="等线(中文正文)" w:cs="等线(中文正文)" w:eastAsia="等线(中文正文)"/>
          <w:b w:val="false"/>
          <w:i w:val="false"/>
          <w:sz w:val="20"/>
        </w:rPr>
        <w:t/>
      </w:r>
    </w:p>
    <w:p>
      <w:pPr>
        <w:pStyle w:val="ab"/>
      </w:pPr>
      <w:r>
        <w:t>发言人1 问：目前家居企业的估值和利润表现如何？</w:t>
      </w:r>
    </w:p>
    <w:p>
      <w:r>
        <w:rPr>
          <w:rFonts w:ascii="等线(中文正文)" w:hAnsi="等线(中文正文)" w:cs="等线(中文正文)" w:eastAsia="等线(中文正文)"/>
          <w:b w:val="false"/>
          <w:i w:val="false"/>
          <w:sz w:val="20"/>
        </w:rPr>
        <w:t>发言人1 答：今年上半年，家居企业整体面临一定压力，利润下滑较大，主要是由于国补高基数及需求偏弱的影响。从财报预告来看，定制企业利润下滑约五成，但随着基数回落，预计从7月开始行业将进入低基数下的复苏阶段，后续收入企稳后，利润修复弹性可能大于收入增长。</w:t>
      </w:r>
    </w:p>
    <w:p>
      <w:r>
        <w:rPr>
          <w:rFonts w:ascii="等线(中文正文)" w:hAnsi="等线(中文正文)" w:cs="等线(中文正文)" w:eastAsia="等线(中文正文)"/>
          <w:b w:val="false"/>
          <w:i w:val="false"/>
          <w:sz w:val="20"/>
        </w:rPr>
        <w:t/>
      </w:r>
    </w:p>
    <w:p>
      <w:pPr>
        <w:pStyle w:val="ab"/>
      </w:pPr>
      <w:r>
        <w:t>发言人1 问：从筹码结构来看，家居板块当前处于什么样的状态，以及哪些因素可能对其产生积极影响？</w:t>
      </w:r>
    </w:p>
    <w:p>
      <w:r>
        <w:rPr>
          <w:rFonts w:ascii="等线(中文正文)" w:hAnsi="等线(中文正文)" w:cs="等线(中文正文)" w:eastAsia="等线(中文正文)"/>
          <w:b w:val="false"/>
          <w:i w:val="false"/>
          <w:sz w:val="20"/>
        </w:rPr>
        <w:t>发言人1 答：当前家居板块的机构持仓处于历史低位，整体处于低配状态。但优势在于，如果家居订单增速转正，板块将具备向上的弹性。下半年展望中，有两个关键点：首先，政策层面是加分项，例如装修提取公积金和智能家居补贴等真金白银的支持措施可以改善需求边际和市场情绪；其次，关注供给端变化，行业洗牌加速，抗风险能力弱的中小企业逐渐被淘汰，集中度向财务稳健、品牌力强的头部企业集中，这可能成为未来获取订单的核心优势。</w:t>
      </w:r>
    </w:p>
    <w:p>
      <w:r>
        <w:rPr>
          <w:rFonts w:ascii="等线(中文正文)" w:hAnsi="等线(中文正文)" w:cs="等线(中文正文)" w:eastAsia="等线(中文正文)"/>
          <w:b w:val="false"/>
          <w:i w:val="false"/>
          <w:sz w:val="20"/>
        </w:rPr>
        <w:t/>
      </w:r>
    </w:p>
    <w:p>
      <w:pPr>
        <w:pStyle w:val="ab"/>
      </w:pPr>
      <w:r>
        <w:t>发言人1 问：在配置方面，具体围绕哪两条主线进行布局？</w:t>
      </w:r>
    </w:p>
    <w:p>
      <w:r>
        <w:rPr>
          <w:rFonts w:ascii="等线(中文正文)" w:hAnsi="等线(中文正文)" w:cs="等线(中文正文)" w:eastAsia="等线(中文正文)"/>
          <w:b w:val="false"/>
          <w:i w:val="false"/>
          <w:sz w:val="20"/>
        </w:rPr>
        <w:t>发言人1 答：主线一是寻找能赚取分红收益和实现估值修复的企业，如顾家、索菲亚等，这些企业既有一定的分红保护，也有可能在市场复苏时展现出弹性。主线二是把握业绩恢复带来的弹性，软件板块优先，建议关注慕斯、敏华、智邦以及五金类企业。配置节奏上，建议在中报落地后关注家居企业的表现，若订单持续改善向好，则可择机布局。</w:t>
      </w:r>
    </w:p>
    <w:p>
      <w:r>
        <w:rPr>
          <w:rFonts w:ascii="等线(中文正文)" w:hAnsi="等线(中文正文)" w:cs="等线(中文正文)" w:eastAsia="等线(中文正文)"/>
          <w:b w:val="false"/>
          <w:i w:val="false"/>
          <w:sz w:val="20"/>
        </w:rPr>
        <w:t/>
      </w:r>
    </w:p>
    <w:p>
      <w:pPr>
        <w:pStyle w:val="ab"/>
      </w:pPr>
      <w:r>
        <w:t>发言人1 问：最近房地产市场的动态中，居民存款贷款剪刀差的变化反映了什么样的情况？</w:t>
      </w:r>
    </w:p>
    <w:p>
      <w:r>
        <w:rPr>
          <w:rFonts w:ascii="等线(中文正文)" w:hAnsi="等线(中文正文)" w:cs="等线(中文正文)" w:eastAsia="等线(中文正文)"/>
          <w:b w:val="false"/>
          <w:i w:val="false"/>
          <w:sz w:val="20"/>
        </w:rPr>
        <w:t>发言人1 答：居民存款高增长与居民负债持续增速下行的剪刀差体现了房地产市场的一个重要变化。从金融视角看，央行发布的贷款二季度投研报告显示，按揭贷款和房地产企业开发贷款增速均进一步下滑，表明信贷投放对房地产行业的金融资源流出，呈现负增长状态。</w:t>
      </w:r>
    </w:p>
    <w:p>
      <w:r>
        <w:rPr>
          <w:rFonts w:ascii="等线(中文正文)" w:hAnsi="等线(中文正文)" w:cs="等线(中文正文)" w:eastAsia="等线(中文正文)"/>
          <w:b w:val="false"/>
          <w:i w:val="false"/>
          <w:sz w:val="20"/>
        </w:rPr>
        <w:t/>
      </w:r>
    </w:p>
    <w:p>
      <w:pPr>
        <w:pStyle w:val="ab"/>
      </w:pPr>
      <w:r>
        <w:t>发言人1 问：居民中长期贷款的表现如何？背后的原因是什么？</w:t>
      </w:r>
    </w:p>
    <w:p>
      <w:r>
        <w:rPr>
          <w:rFonts w:ascii="等线(中文正文)" w:hAnsi="等线(中文正文)" w:cs="等线(中文正文)" w:eastAsia="等线(中文正文)"/>
          <w:b w:val="false"/>
          <w:i w:val="false"/>
          <w:sz w:val="20"/>
        </w:rPr>
        <w:t>发言人1 答：居民中长期贷款今年呈现偏弱态势，增量明显低于预期，并且裂口在扩大，有三个月出现负增长。同时，居民短期贷款增速也更弱，集中在一年以下的消费贷和经营贷，表明居民风险偏好下降，更倾向于使用储蓄。此外，从区域来看，长三角、珠三角等经济活跃地区的居民住房贷款人数相对较低，而西北、西南等中西部地区的居民消费带动性更高，这主要是由于居民住房贷款到期偿还后选择提前还贷，导致贷款增量减少。</w:t>
      </w:r>
    </w:p>
    <w:p>
      <w:r>
        <w:rPr>
          <w:rFonts w:ascii="等线(中文正文)" w:hAnsi="等线(中文正文)" w:cs="等线(中文正文)" w:eastAsia="等线(中文正文)"/>
          <w:b w:val="false"/>
          <w:i w:val="false"/>
          <w:sz w:val="20"/>
        </w:rPr>
        <w:t/>
      </w:r>
    </w:p>
    <w:p>
      <w:pPr>
        <w:pStyle w:val="ab"/>
      </w:pPr>
      <w:r>
        <w:t>发言人1 问：当前居民资产负债表的情况及其对房地产市场的影响是什么？</w:t>
      </w:r>
    </w:p>
    <w:p>
      <w:r>
        <w:rPr>
          <w:rFonts w:ascii="等线(中文正文)" w:hAnsi="等线(中文正文)" w:cs="等线(中文正文)" w:eastAsia="等线(中文正文)"/>
          <w:b w:val="false"/>
          <w:i w:val="false"/>
          <w:sz w:val="20"/>
        </w:rPr>
        <w:t>发言人1 答：尽管居民净资产增量达到40万亿的理想水平，没有因房价下跌导致资产负增长，但居民资产结构发生变化。不同于2017年主要依靠房地产市值上涨带来的资产负债表改善，本轮增长主要靠居民存款的积累，而非负债增加。存款增长受收入影响较大，且不同地区的分配不均，如一线城市由于经济活跃、收入较高，房价率先企稳。因此，当前房地产市场的修复更多依赖于居民资产的积累和存款的增长，而非负债的增加。</w:t>
      </w:r>
    </w:p>
    <w:p>
      <w:r>
        <w:rPr>
          <w:rFonts w:ascii="等线(中文正文)" w:hAnsi="等线(中文正文)" w:cs="等线(中文正文)" w:eastAsia="等线(中文正文)"/>
          <w:b w:val="false"/>
          <w:i w:val="false"/>
          <w:sz w:val="20"/>
        </w:rPr>
        <w:t/>
      </w:r>
    </w:p>
  </w:body>
</w:document>
</file>

<file path=word/numbering.xml><?xml version="1.0" encoding="utf-8"?>
<w:numbering xmlns:w="http://schemas.openxmlformats.org/wordprocessingml/2006/main">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abstractNum w:abstractNumId="0">
    <w:lvl w:ilvl="0">
      <w:start w:val="1"/>
      <w:numFmt w:val="bullet"/>
      <w:lvlText w:val="l"/>
      <w:lvlJc w:val="left"/>
      <w:pPr>
        <w:ind w:left="36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bering>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2026-08-16T01:55:36Z</dcterms:created>
  <dc:creator>Apache POI</dc:creator>
</cp:coreProperties>
</file>