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餐饮供应链-格局优化，优选强α龙头 260814_导读</w:t>
      </w:r>
    </w:p>
    <w:p>
      <w:pPr>
        <w:pStyle w:val="a0"/>
        <w:jc w:val="center"/>
      </w:pPr>
      <w:r>
        <w:t>2026年08月16日 09:52</w:t>
      </w:r>
    </w:p>
    <w:p>
      <w:pPr>
        <w:pStyle w:val="a7"/>
      </w:pPr>
      <w:r>
        <w:t>关键词</w:t>
      </w:r>
    </w:p>
    <w:p>
      <w:r>
        <w:rPr>
          <w:rFonts w:ascii="等线(中文正文)" w:hAnsi="等线(中文正文)" w:cs="等线(中文正文)" w:eastAsia="等线(中文正文)"/>
          <w:b w:val="false"/>
          <w:i w:val="false"/>
          <w:sz w:val="20"/>
        </w:rPr>
        <w:t xml:space="preserve">餐饮工业板块 需求端 新产品 新渠道 龙头公司 估值水平 竞争格局 业绩增长 春节效应 安井 三全 海天 份额提升 贝塔 阿尔法 悲观预期 估值 行业趋势 需求 竞争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自去年下半年，餐饮供应链板块关注度提升，股价表现良好后在五月份达到高峰后回调。当前需求端复苏缓慢，但行业格局改善，成本费用减少，利好龙头公司通过新产品和新渠道实现增长。板块虽短期回调，但长期逻辑稳固，对长期投资者是培育机会。需关注需求端边际走弱可能加剧的行业竞争和业绩增长持续性。随着消费温和复苏，板块机会不大，建议聚焦如安井食品等表现突出的个股，因其展现新产品周期、市场份额提升及较低估值。整体而言，板块面临短期挑战，但长期逻辑未变，值得持续关注行业内的优秀企业。</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餐饮工业板块分析：需求偏弱复苏，中长期逻辑未变</w:t>
      </w:r>
    </w:p>
    <w:p>
      <w:r>
        <w:rPr>
          <w:rFonts w:ascii="等线(中文正文)" w:hAnsi="等线(中文正文)" w:cs="等线(中文正文)" w:eastAsia="等线(中文正文)"/>
          <w:b w:val="false"/>
          <w:i w:val="false"/>
          <w:sz w:val="20"/>
        </w:rPr>
        <w:t>对话中指出，自去年下半年起，餐饮工业板块的关注度提升，股价表现良好但近期有所回调。当前需求端复苏偏弱，行业格局改善，龙头公司在新产品和新渠道上取得增量。尽管存在需求边际走弱的风险，但中长期逻辑未变，低估值水平对培育有吸引力。警惕下半年行业竞争可能的变化及业绩增长持续性，当前估值水位隐含悲观预期，中长期看好该板块。</w:t>
      </w:r>
    </w:p>
    <w:p>
      <w:r>
        <w:rPr>
          <w:rFonts w:ascii="等线(中文正文)" w:hAnsi="等线(中文正文)" w:cs="等线(中文正文)" w:eastAsia="等线(中文正文)"/>
          <w:b w:val="false"/>
          <w:i w:val="false"/>
          <w:sz w:val="20"/>
        </w:rPr>
        <w:t/>
      </w:r>
    </w:p>
    <w:p>
      <w:pPr>
        <w:pStyle w:val="ab"/>
        <w:numPr>
          <w:numId w:val="2"/>
        </w:numPr>
      </w:pPr>
      <w:r>
        <w:t>02:03 春节后消费市场变化分析：Q1超预期，Q2明显降速</w:t>
      </w:r>
    </w:p>
    <w:p>
      <w:r>
        <w:rPr>
          <w:rFonts w:ascii="等线(中文正文)" w:hAnsi="等线(中文正文)" w:cs="等线(中文正文)" w:eastAsia="等线(中文正文)"/>
          <w:b w:val="false"/>
          <w:i w:val="false"/>
          <w:sz w:val="20"/>
        </w:rPr>
        <w:t>春节前后，消费市场展现出显著的季节性特征，Q1业绩超预期，餐饮品牌与供应链公司均呈现双位数增长。然而，Q2市场明显降温，增速放缓，反映出假期消费效应过后的真实消费状态。尽管上市公司表现仍优于行业平均水平，但整体需求相对疲软，与前期调研反馈一致。</w:t>
      </w:r>
    </w:p>
    <w:p>
      <w:r>
        <w:rPr>
          <w:rFonts w:ascii="等线(中文正文)" w:hAnsi="等线(中文正文)" w:cs="等线(中文正文)" w:eastAsia="等线(中文正文)"/>
          <w:b w:val="false"/>
          <w:i w:val="false"/>
          <w:sz w:val="20"/>
        </w:rPr>
        <w:t/>
      </w:r>
    </w:p>
    <w:p>
      <w:pPr>
        <w:pStyle w:val="ab"/>
        <w:numPr>
          <w:numId w:val="3"/>
        </w:numPr>
      </w:pPr>
      <w:r>
        <w:t>05:23 股价回调与行业龙头优选策略分析</w:t>
      </w:r>
    </w:p>
    <w:p>
      <w:r>
        <w:rPr>
          <w:rFonts w:ascii="等线(中文正文)" w:hAnsi="等线(中文正文)" w:cs="等线(中文正文)" w:eastAsia="等线(中文正文)"/>
          <w:b w:val="false"/>
          <w:i w:val="false"/>
          <w:sz w:val="20"/>
        </w:rPr>
        <w:t>对话探讨了自去年夏天以来股价波动的原因，特别是五月份后股价回调的现象，归因于需求端增长放缓及消费复苏的温和趋势。在弱复苏的背景下，行业整体机会有限，建议聚焦于中长期表现强劲的龙头公司，如去年下半年开始推荐的某企业，其优势在于行业格局改善、新产品周期启动及较低的估值水平。</w:t>
      </w:r>
    </w:p>
    <w:p>
      <w:r>
        <w:rPr>
          <w:rFonts w:ascii="等线(中文正文)" w:hAnsi="等线(中文正文)" w:cs="等线(中文正文)" w:eastAsia="等线(中文正文)"/>
          <w:b w:val="false"/>
          <w:i w:val="false"/>
          <w:sz w:val="20"/>
        </w:rPr>
        <w:t/>
      </w:r>
    </w:p>
    <w:p>
      <w:pPr>
        <w:pStyle w:val="ab"/>
        <w:numPr>
          <w:numId w:val="4"/>
        </w:numPr>
      </w:pPr>
      <w:r>
        <w:t>07:42 行业竞争格局改善与新产品周期启动</w:t>
      </w:r>
    </w:p>
    <w:p>
      <w:r>
        <w:rPr>
          <w:rFonts w:ascii="等线(中文正文)" w:hAnsi="等线(中文正文)" w:cs="等线(中文正文)" w:eastAsia="等线(中文正文)"/>
          <w:b w:val="false"/>
          <w:i w:val="false"/>
          <w:sz w:val="20"/>
        </w:rPr>
        <w:t>行业需求一般但竞争格局有所改善，主要因竞争加剧至极限，边际效应递减，促使行业调整策略，龙头公司通过开发新产品、新渠道实现增量，避免内卷，整体格局自去年下半年起出现积极变化，进入新产品周期。</w:t>
      </w:r>
    </w:p>
    <w:p>
      <w:r>
        <w:rPr>
          <w:rFonts w:ascii="等线(中文正文)" w:hAnsi="等线(中文正文)" w:cs="等线(中文正文)" w:eastAsia="等线(中文正文)"/>
          <w:b w:val="false"/>
          <w:i w:val="false"/>
          <w:sz w:val="20"/>
        </w:rPr>
        <w:t/>
      </w:r>
    </w:p>
    <w:p>
      <w:pPr>
        <w:pStyle w:val="ab"/>
        <w:numPr>
          <w:numId w:val="5"/>
        </w:numPr>
      </w:pPr>
      <w:r>
        <w:t>10:35 新品策略助力公司业绩增长</w:t>
      </w:r>
    </w:p>
    <w:p>
      <w:r>
        <w:rPr>
          <w:rFonts w:ascii="等线(中文正文)" w:hAnsi="等线(中文正文)" w:cs="等线(中文正文)" w:eastAsia="等线(中文正文)"/>
          <w:b w:val="false"/>
          <w:i w:val="false"/>
          <w:sz w:val="20"/>
        </w:rPr>
        <w:t>对话围绕公司2025年下半年以来通过新品策略实现业绩增长的现象展开，指出新品的成功得益于总部企划与高管团队的协同推进，形成了产品周期内的持续销售。尽管对未来的增速存在不确定性，但公司对新品的持续投入和优化显示了乐观态度，认为新品可能在第二年或第三年达到最大增长。整体来看，新品已成为公司核心增量来源，未来的发展值得期待。</w:t>
      </w:r>
    </w:p>
    <w:p>
      <w:r>
        <w:rPr>
          <w:rFonts w:ascii="等线(中文正文)" w:hAnsi="等线(中文正文)" w:cs="等线(中文正文)" w:eastAsia="等线(中文正文)"/>
          <w:b w:val="false"/>
          <w:i w:val="false"/>
          <w:sz w:val="20"/>
        </w:rPr>
        <w:t/>
      </w:r>
    </w:p>
    <w:p>
      <w:pPr>
        <w:pStyle w:val="ab"/>
        <w:numPr>
          <w:numId w:val="6"/>
        </w:numPr>
      </w:pPr>
      <w:r>
        <w:t>13:15 行业估值现状与长期趋势分析</w:t>
      </w:r>
    </w:p>
    <w:p>
      <w:r>
        <w:rPr>
          <w:rFonts w:ascii="等线(中文正文)" w:hAnsi="等线(中文正文)" w:cs="等线(中文正文)" w:eastAsia="等线(中文正文)"/>
          <w:b w:val="false"/>
          <w:i w:val="false"/>
          <w:sz w:val="20"/>
        </w:rPr>
        <w:t>对话深入探讨了当前行业估值较低的现象，指出尽管市场对短期业绩过度反应导致估值压缩，但行业长期逻辑未变，包括家庭端便捷化需求、B端降本增效以及原始化率提升等趋势依旧稳固。此外，龙头公司竞争力持续增强，市场份额稳步扩大，中小厂家生存环境更加艰难，进一步凸显了行业集中度提升的趋势。</w:t>
      </w:r>
    </w:p>
    <w:p>
      <w:r>
        <w:rPr>
          <w:rFonts w:ascii="等线(中文正文)" w:hAnsi="等线(中文正文)" w:cs="等线(中文正文)" w:eastAsia="等线(中文正文)"/>
          <w:b w:val="false"/>
          <w:i w:val="false"/>
          <w:sz w:val="20"/>
        </w:rPr>
        <w:t/>
      </w:r>
    </w:p>
    <w:p>
      <w:pPr>
        <w:pStyle w:val="ab"/>
        <w:numPr>
          <w:numId w:val="7"/>
        </w:numPr>
      </w:pPr>
      <w:r>
        <w:t>14:59 食品行业现状与未来展望：安井分公司增量举措与股价弹性</w:t>
      </w:r>
    </w:p>
    <w:p>
      <w:r>
        <w:rPr>
          <w:rFonts w:ascii="等线(中文正文)" w:hAnsi="等线(中文正文)" w:cs="等线(中文正文)" w:eastAsia="等线(中文正文)"/>
          <w:b w:val="false"/>
          <w:i w:val="false"/>
          <w:sz w:val="20"/>
        </w:rPr>
        <w:t>对话围绕食品行业特别是安井分公司在当前消费偏弱背景下的增量举措展开，强调管理层的不懈努力及公司在预制菜、海外市场、烘焙等领域的新布局。虽然短期内需求承压，但行业长期逻辑未变，股价已反映悲观预期，未来有望通过新品推出和市场拓展实现数据反馈和股价弹性，推荐最强公司安全食品作为投资选择。</w:t>
      </w:r>
    </w:p>
    <w:p>
      <w:r>
        <w:rPr>
          <w:rFonts w:ascii="等线(中文正文)" w:hAnsi="等线(中文正文)" w:cs="等线(中文正文)" w:eastAsia="等线(中文正文)"/>
          <w:b w:val="false"/>
          <w:i w:val="false"/>
          <w:sz w:val="20"/>
        </w:rPr>
        <w:t/>
      </w:r>
    </w:p>
    <w:p>
      <w:pPr>
        <w:pStyle w:val="a7"/>
      </w:pPr>
      <w:r>
        <w:t>发言总结</w:t>
      </w:r>
    </w:p>
    <w:p>
      <w:pPr>
        <w:pStyle w:val="ab"/>
        <w:numPr>
          <w:numId w:val="8"/>
        </w:numPr>
      </w:pPr>
      <w:r>
        <w:t>发言人1</w:t>
      </w:r>
    </w:p>
    <w:p>
      <w:r>
        <w:rPr>
          <w:rFonts w:ascii="等线(中文正文)" w:hAnsi="等线(中文正文)" w:cs="等线(中文正文)" w:eastAsia="等线(中文正文)"/>
          <w:b w:val="false"/>
          <w:i w:val="false"/>
          <w:sz w:val="20"/>
        </w:rPr>
        <w:t>他对餐饮供应板块进行了深入分析，指出自去年下半年板块关注度提升，股价表现良好，但在五月份达到高点后出现回调和盘整。当前需求端复苏态势较弱，但行业格局有所改善，部分公司展现出积极变化。尽管股价回调，但并不影响板块的中长期投资逻辑，尤其龙头公司通过新产品和新渠道的创新实现了显著增量，当前估值水平对中长期投资者而言较为有利。然而，需警惕需求端的边际走弱及行业内竞争的加剧。特别地，春节期间行业表现超出预期，但二季度增速放缓，这被解释为季节性因素及消费回归常态的结果。尽管面临短期压力，他仍对板块持积极看法，建议关注具有强大竞争力的公司。</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问：近期餐饮供应板块的表现如何，以及行业与之前推的重点公司有哪些变化？</w:t>
      </w:r>
    </w:p>
    <w:p>
      <w:r>
        <w:rPr>
          <w:rFonts w:ascii="等线(中文正文)" w:hAnsi="等线(中文正文)" w:cs="等线(中文正文)" w:eastAsia="等线(中文正文)"/>
          <w:b w:val="false"/>
          <w:i w:val="false"/>
          <w:sz w:val="20"/>
        </w:rPr>
        <w:t>发言人1 答：餐饮供应板块从去年下半年以来关注度提升，股价表现较好，但在今年五月份到达高点后出现回调和盘整。目前，需求端呈现偏弱复苏状态，贝塔值较低，但行业格局有所好转，龙头公司在新产品和新渠道上有显著增量。尽管股价有回调，中长期逻辑并未发生重大变化，龙头公司的低估值水平对于长期投资而言是有吸引力的。然而，需要注意的是，需求端边际在走弱，下半年行业竞争层面可能会有新的变化，并且由于去年下半年以来的基数走高，需警惕部分公司的业绩增长持续性。</w:t>
      </w:r>
    </w:p>
    <w:p>
      <w:r>
        <w:rPr>
          <w:rFonts w:ascii="等线(中文正文)" w:hAnsi="等线(中文正文)" w:cs="等线(中文正文)" w:eastAsia="等线(中文正文)"/>
          <w:b w:val="false"/>
          <w:i w:val="false"/>
          <w:sz w:val="20"/>
        </w:rPr>
        <w:t/>
      </w:r>
    </w:p>
    <w:p>
      <w:pPr>
        <w:pStyle w:val="ab"/>
      </w:pPr>
      <w:r>
        <w:t>发言人1 问：春节前后餐饮品牌的销售数据表现如何？</w:t>
      </w:r>
    </w:p>
    <w:p>
      <w:r>
        <w:rPr>
          <w:rFonts w:ascii="等线(中文正文)" w:hAnsi="等线(中文正文)" w:cs="等线(中文正文)" w:eastAsia="等线(中文正文)"/>
          <w:b w:val="false"/>
          <w:i w:val="false"/>
          <w:sz w:val="20"/>
        </w:rPr>
        <w:t>发言人1 答：春节前后，无论是餐饮品牌还是餐饮工业公司，数据均表现良好，超出了市场预期。例如百盛中国、海底捞等餐饮品牌的同店数据翻台率上升，供应链公司如安井、三全等在Q1实现双位数甚至20%以上的增长。同时，调味品公司如海天、中炬高新也实现了高端增长，而像宜海、保利等公司则保持了双位数的增长。</w:t>
      </w:r>
    </w:p>
    <w:p>
      <w:r>
        <w:rPr>
          <w:rFonts w:ascii="等线(中文正文)" w:hAnsi="等线(中文正文)" w:cs="等线(中文正文)" w:eastAsia="等线(中文正文)"/>
          <w:b w:val="false"/>
          <w:i w:val="false"/>
          <w:sz w:val="20"/>
        </w:rPr>
        <w:t/>
      </w:r>
    </w:p>
    <w:p>
      <w:pPr>
        <w:pStyle w:val="ab"/>
      </w:pPr>
      <w:r>
        <w:t>发言人1 问：Q2餐饮行业的销售情况相比Q1有何变化？</w:t>
      </w:r>
    </w:p>
    <w:p>
      <w:r>
        <w:rPr>
          <w:rFonts w:ascii="等线(中文正文)" w:hAnsi="等线(中文正文)" w:cs="等线(中文正文)" w:eastAsia="等线(中文正文)"/>
          <w:b w:val="false"/>
          <w:i w:val="false"/>
          <w:sz w:val="20"/>
        </w:rPr>
        <w:t>发言人1 答：Q2餐饮行业销售情况明显走弱，无论是餐饮品牌的同年数据还是餐饮工业二季度最新反馈，整体增速环比Q1显著下降。市场普遍关注Q1和Q2表现反差的原因，我们认为这主要是春节效应所致，假期消费释放导致Q1表现较好，而Q2回归到平常消费状态，增速放缓。</w:t>
      </w:r>
    </w:p>
    <w:p>
      <w:r>
        <w:rPr>
          <w:rFonts w:ascii="等线(中文正文)" w:hAnsi="等线(中文正文)" w:cs="等线(中文正文)" w:eastAsia="等线(中文正文)"/>
          <w:b w:val="false"/>
          <w:i w:val="false"/>
          <w:sz w:val="20"/>
        </w:rPr>
        <w:t/>
      </w:r>
    </w:p>
    <w:p>
      <w:pPr>
        <w:pStyle w:val="ab"/>
      </w:pPr>
      <w:r>
        <w:t>发言人1 问：对于当前股价回调以及未来需求预期的看法是什么？</w:t>
      </w:r>
    </w:p>
    <w:p>
      <w:r>
        <w:rPr>
          <w:rFonts w:ascii="等线(中文正文)" w:hAnsi="等线(中文正文)" w:cs="等线(中文正文)" w:eastAsia="等线(中文正文)"/>
          <w:b w:val="false"/>
          <w:i w:val="false"/>
          <w:sz w:val="20"/>
        </w:rPr>
        <w:t>发言人1 答：股价从去年夏天上涨至五月份后开始回调，主要是因为阅读数据增速放缓，以及对于后续需求和下半年预期变得更加谨慎，担忧增速会明显下降。虽然需求端同比仍有望增长，但消费复苏斜率不会陡峭，将呈现温和复苏态势。因此，在弱复苏背景下，从基本面角度看，餐饮板块不大可能有特别大的机会。</w:t>
      </w:r>
    </w:p>
    <w:p>
      <w:r>
        <w:rPr>
          <w:rFonts w:ascii="等线(中文正文)" w:hAnsi="等线(中文正文)" w:cs="等线(中文正文)" w:eastAsia="等线(中文正文)"/>
          <w:b w:val="false"/>
          <w:i w:val="false"/>
          <w:sz w:val="20"/>
        </w:rPr>
        <w:t/>
      </w:r>
    </w:p>
    <w:p>
      <w:pPr>
        <w:pStyle w:val="ab"/>
      </w:pPr>
      <w:r>
        <w:t>发言人1 问：在当前市场环境下，对于需求端的核心矛盾，您是如何看待的？</w:t>
      </w:r>
    </w:p>
    <w:p>
      <w:r>
        <w:rPr>
          <w:rFonts w:ascii="等线(中文正文)" w:hAnsi="等线(中文正文)" w:cs="等线(中文正文)" w:eastAsia="等线(中文正文)"/>
          <w:b w:val="false"/>
          <w:i w:val="false"/>
          <w:sz w:val="20"/>
        </w:rPr>
        <w:t>发言人1 答：我们认为，由于这个核心矛盾难以解决，从板块推荐的角度出发，更适合关注个股中那些最强的公司。我们从去年下半年开始就持续推荐某家公司，其核心逻辑在于：尽管短期需求一般，但行业格局有所改善；公司自身进入新的产品周期，2026年将有确定性成长，并且中长期来看还有较长时间的份额提升路径；此外，该公司估值目前并不贵，向下风险不大。</w:t>
      </w:r>
    </w:p>
    <w:p>
      <w:r>
        <w:rPr>
          <w:rFonts w:ascii="等线(中文正文)" w:hAnsi="等线(中文正文)" w:cs="等线(中文正文)" w:eastAsia="等线(中文正文)"/>
          <w:b w:val="false"/>
          <w:i w:val="false"/>
          <w:sz w:val="20"/>
        </w:rPr>
        <w:t/>
      </w:r>
    </w:p>
    <w:p>
      <w:pPr>
        <w:pStyle w:val="ab"/>
      </w:pPr>
      <w:r>
        <w:t>发言人1 问：能具体分析一下行业需求和格局改善的逻辑吗？</w:t>
      </w:r>
    </w:p>
    <w:p>
      <w:r>
        <w:rPr>
          <w:rFonts w:ascii="等线(中文正文)" w:hAnsi="等线(中文正文)" w:cs="等线(中文正文)" w:eastAsia="等线(中文正文)"/>
          <w:b w:val="false"/>
          <w:i w:val="false"/>
          <w:sz w:val="20"/>
        </w:rPr>
        <w:t>发言人1 答：当前行业需求虽一般，但格局有所改善。过去几年，由于疫情前后需求旺盛，大量资本投入导致供需错配矛盾。现在行业分散，小厂发起价格战，龙头被迫应对，竞争加剧。然而从去年下半年开始，竞争加剧的现象有所缓解，主要原因是卷无可卷——进一步加大竞争力度对渠道和终端动销带来的边际效应有限，以及行业龙头开始转向新品和新渠道寻求增量，避免内卷。</w:t>
      </w:r>
    </w:p>
    <w:p>
      <w:r>
        <w:rPr>
          <w:rFonts w:ascii="等线(中文正文)" w:hAnsi="等线(中文正文)" w:cs="等线(中文正文)" w:eastAsia="等线(中文正文)"/>
          <w:b w:val="false"/>
          <w:i w:val="false"/>
          <w:sz w:val="20"/>
        </w:rPr>
        <w:t/>
      </w:r>
    </w:p>
    <w:p>
      <w:pPr>
        <w:pStyle w:val="ab"/>
      </w:pPr>
      <w:r>
        <w:t>发言人1 问：公司层面，在新品和新渠道方面有哪些增量表现？</w:t>
      </w:r>
    </w:p>
    <w:p>
      <w:r>
        <w:rPr>
          <w:rFonts w:ascii="等线(中文正文)" w:hAnsi="等线(中文正文)" w:cs="等线(中文正文)" w:eastAsia="等线(中文正文)"/>
          <w:b w:val="false"/>
          <w:i w:val="false"/>
          <w:sz w:val="20"/>
        </w:rPr>
        <w:t>发言人1 答：相关龙头公司在新品和新渠道方面积极布局并取得了一定增量。例如，他们在新品研发上投入更多精力，成功推出新品并在旺季时表现不错，成为下半年以来重要的核心增量来源。同时，公司调整了新品推出路径，由总部企划、市场研发等部门发起，并通过高管及核心大商共同参与筛选推广，这使得新品在25年下半年以来增长较快。</w:t>
      </w:r>
    </w:p>
    <w:p>
      <w:r>
        <w:rPr>
          <w:rFonts w:ascii="等线(中文正文)" w:hAnsi="等线(中文正文)" w:cs="等线(中文正文)" w:eastAsia="等线(中文正文)"/>
          <w:b w:val="false"/>
          <w:i w:val="false"/>
          <w:sz w:val="20"/>
        </w:rPr>
        <w:t/>
      </w:r>
    </w:p>
    <w:p>
      <w:pPr>
        <w:pStyle w:val="ab"/>
      </w:pPr>
      <w:r>
        <w:t>发言人1 问：对于未来几年公司新品销售情况的看法如何？</w:t>
      </w:r>
    </w:p>
    <w:p>
      <w:r>
        <w:rPr>
          <w:rFonts w:ascii="等线(中文正文)" w:hAnsi="等线(中文正文)" w:cs="等线(中文正文)" w:eastAsia="等线(中文正文)"/>
          <w:b w:val="false"/>
          <w:i w:val="false"/>
          <w:sz w:val="20"/>
        </w:rPr>
        <w:t>发言人1 答：尽管不能预判未来每个季度的具体表现，但考虑到新品销售周期通常能延续一个销售财年，去年下半年及Q4的增长势头预计不会在短期内突然消失。从目前高频数据和进度来看，Q1和Q2数据表现尚可，即使Q2增速有所下降，但仍保持双位数增长。对于下半年增速和未来三年的具体水平，我们将持续观察并评估，但公司已明确表示将持续推新品并放大存量新品的销售。</w:t>
      </w:r>
    </w:p>
    <w:p>
      <w:r>
        <w:rPr>
          <w:rFonts w:ascii="等线(中文正文)" w:hAnsi="等线(中文正文)" w:cs="等线(中文正文)" w:eastAsia="等线(中文正文)"/>
          <w:b w:val="false"/>
          <w:i w:val="false"/>
          <w:sz w:val="20"/>
        </w:rPr>
        <w:t/>
      </w:r>
    </w:p>
    <w:p>
      <w:pPr>
        <w:pStyle w:val="ab"/>
      </w:pPr>
      <w:r>
        <w:t>发言人1 问：您对该公司未来新品发展的态度是什么？</w:t>
      </w:r>
    </w:p>
    <w:p>
      <w:r>
        <w:rPr>
          <w:rFonts w:ascii="等线(中文正文)" w:hAnsi="等线(中文正文)" w:cs="等线(中文正文)" w:eastAsia="等线(中文正文)"/>
          <w:b w:val="false"/>
          <w:i w:val="false"/>
          <w:sz w:val="20"/>
        </w:rPr>
        <w:t>发言人1 答：公司已在新品上尝到了发展的红利，已表态将坚持不懈地推新品，并进一步放大存量新品的市场份额。考虑到新品往往在上市第二年或第三年才迎来快速增长期，因此我相对乐观地看待其未来新品的表现。</w:t>
      </w:r>
    </w:p>
    <w:p>
      <w:r>
        <w:rPr>
          <w:rFonts w:ascii="等线(中文正文)" w:hAnsi="等线(中文正文)" w:cs="等线(中文正文)" w:eastAsia="等线(中文正文)"/>
          <w:b w:val="false"/>
          <w:i w:val="false"/>
          <w:sz w:val="20"/>
        </w:rPr>
        <w:t/>
      </w:r>
    </w:p>
    <w:p>
      <w:pPr>
        <w:pStyle w:val="ab"/>
      </w:pPr>
      <w:r>
        <w:t>发言人1 问：这个行业当前的估值情况如何，以及对未来市场预期的影响？</w:t>
      </w:r>
    </w:p>
    <w:p>
      <w:r>
        <w:rPr>
          <w:rFonts w:ascii="等线(中文正文)" w:hAnsi="等线(中文正文)" w:cs="等线(中文正文)" w:eastAsia="等线(中文正文)"/>
          <w:b w:val="false"/>
          <w:i w:val="false"/>
          <w:sz w:val="20"/>
        </w:rPr>
        <w:t>发言人1 答：当前，该行业的估值已大幅下降，港股估值约为11倍，A股大概在15至16倍，相比过去大几十倍的泡沫化估值，现在确实低了很多。这反映出市场对未来持悲观态度，但长期来看，由于家庭便捷化需求、B端降本增效以及原材料率提升等产业趋势并未改变，行业发展趋势仍然存在。</w:t>
      </w:r>
    </w:p>
    <w:p>
      <w:r>
        <w:rPr>
          <w:rFonts w:ascii="等线(中文正文)" w:hAnsi="等线(中文正文)" w:cs="等线(中文正文)" w:eastAsia="等线(中文正文)"/>
          <w:b w:val="false"/>
          <w:i w:val="false"/>
          <w:sz w:val="20"/>
        </w:rPr>
        <w:t/>
      </w:r>
    </w:p>
    <w:p>
      <w:pPr>
        <w:pStyle w:val="ab"/>
      </w:pPr>
      <w:r>
        <w:t>发言人1 问：龙头公司的经营状况如何，与中小厂家相比有何不同？</w:t>
      </w:r>
    </w:p>
    <w:p>
      <w:r>
        <w:rPr>
          <w:rFonts w:ascii="等线(中文正文)" w:hAnsi="等线(中文正文)" w:cs="等线(中文正文)" w:eastAsia="等线(中文正文)"/>
          <w:b w:val="false"/>
          <w:i w:val="false"/>
          <w:sz w:val="20"/>
        </w:rPr>
        <w:t>发言人1 答：龙头公司的经营状况良好，并未出现显著问题，而中小厂家面临的生存压力更大，行业呈现出明显的区域性特点，存在大量小品牌。尽管如此，龙头公司在市场份额和竞争力方面表现稳健，一直在拉开与竞对之间的差距。当前股价更多是受短期业绩影响而过度定价，估值从曾经的大几十倍压缩到现在十倍出头。</w:t>
      </w:r>
    </w:p>
    <w:p>
      <w:r>
        <w:rPr>
          <w:rFonts w:ascii="等线(中文正文)" w:hAnsi="等线(中文正文)" w:cs="等线(中文正文)" w:eastAsia="等线(中文正文)"/>
          <w:b w:val="false"/>
          <w:i w:val="false"/>
          <w:sz w:val="20"/>
        </w:rPr>
        <w:t/>
      </w:r>
    </w:p>
    <w:p>
      <w:pPr>
        <w:pStyle w:val="ab"/>
      </w:pPr>
      <w:r>
        <w:t>发言人1 问：对于未来消费形势及行业动态有何看法？</w:t>
      </w:r>
    </w:p>
    <w:p>
      <w:r>
        <w:rPr>
          <w:rFonts w:ascii="等线(中文正文)" w:hAnsi="等线(中文正文)" w:cs="等线(中文正文)" w:eastAsia="等线(中文正文)"/>
          <w:b w:val="false"/>
          <w:i w:val="false"/>
          <w:sz w:val="20"/>
        </w:rPr>
        <w:t>发言人1 答：即使未来消费偏弱，只要龙头公司如安井分公司等不消极应对，保持管理层高效运作，并且关注行业发展趋势，就能有所作为。新的销售渠道（如餐饮品质、即食零售等）正在涌现，公司在预制菜、牛羊肉、烤肠等领域以及海外市场布局上均有增量举措。预计下半年可能在海外布局和新领域探索方面取得阶段性成果，比如烘焙领域。</w:t>
      </w:r>
    </w:p>
    <w:p>
      <w:r>
        <w:rPr>
          <w:rFonts w:ascii="等线(中文正文)" w:hAnsi="等线(中文正文)" w:cs="等线(中文正文)" w:eastAsia="等线(中文正文)"/>
          <w:b w:val="false"/>
          <w:i w:val="false"/>
          <w:sz w:val="20"/>
        </w:rPr>
        <w:t/>
      </w:r>
    </w:p>
    <w:p>
      <w:pPr>
        <w:pStyle w:val="ab"/>
      </w:pPr>
      <w:r>
        <w:t>发言人1 问：如何看待当前股价位置和公司未来的表现？</w:t>
      </w:r>
    </w:p>
    <w:p>
      <w:r>
        <w:rPr>
          <w:rFonts w:ascii="等线(中文正文)" w:hAnsi="等线(中文正文)" w:cs="等线(中文正文)" w:eastAsia="等线(中文正文)"/>
          <w:b w:val="false"/>
          <w:i w:val="false"/>
          <w:sz w:val="20"/>
        </w:rPr>
        <w:t>发言人1 答：目前股价已隐含了较为悲观的预期，尽管短期需求承压，但我们认为行业的长期逻辑并未改变。公司仍在积极研发新产品、开拓新市场和渠道，不会消极应对。因此，对于股价表现不必过于悲观，一旦下半年市场预期转好，公司产品若能获得不错的数据反馈，股价弹性较大，值得期待。</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2026-08-16T01:55:36Z</dcterms:created>
  <dc:creator>Apache POI</dc:creator>
</cp:coreProperties>
</file>