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西部策略 - 一周路演回顾总结 260815_导读</w:t>
      </w:r>
    </w:p>
    <w:p>
      <w:pPr>
        <w:pStyle w:val="a0"/>
        <w:jc w:val="center"/>
      </w:pPr>
      <w:r>
        <w:t>2026年08月16日 09:52</w:t>
      </w:r>
    </w:p>
    <w:p>
      <w:pPr>
        <w:pStyle w:val="a7"/>
      </w:pPr>
      <w:r>
        <w:t>关键词</w:t>
      </w:r>
    </w:p>
    <w:p>
      <w:r>
        <w:rPr>
          <w:rFonts w:ascii="等线(中文正文)" w:hAnsi="等线(中文正文)" w:cs="等线(中文正文)" w:eastAsia="等线(中文正文)"/>
          <w:b w:val="false"/>
          <w:i w:val="false"/>
          <w:sz w:val="20"/>
        </w:rPr>
        <w:t xml:space="preserve">佩雷斯框架 大模型 平台经济 港股互联网 估值 美元指数 科技股 公用事业 AI应用 诺亚方舟 政策驱动 创新药 资本开支 商业模型 基础设施 暴跌 大调整 全球资本 黄金有色 地产消费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会议主持人首先对所有参会者的参与表示感谢，并提醒大家会议即将开始，需保持在线。会议内容丰富，覆盖财经话题、市场分析及投资建议等多个方面。特别关注了港股互联网领域的投资前景，认为在政策支持与市场环境变化下，该领域未来估值有望实现翻倍增长。此外，会议还探讨了黄金有色、地产和消费领域的投资机遇，强调了美元指数变化对港股影响的重要性。最后，主持人再次感谢参会者，并宣布会议结束，同时推荐关注公众号以获取更多会议纪要信息。此次会议全面而深入地分析了多个行业的投资机会和市场动态，为参会者提供了宝贵的见解和建议。</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西部证券策略首席谈一周路演回顾总结</w:t>
      </w:r>
    </w:p>
    <w:p>
      <w:r>
        <w:rPr>
          <w:rFonts w:ascii="等线(中文正文)" w:hAnsi="等线(中文正文)" w:cs="等线(中文正文)" w:eastAsia="等线(中文正文)"/>
          <w:b w:val="false"/>
          <w:i w:val="false"/>
          <w:sz w:val="20"/>
        </w:rPr>
        <w:t>本次会议由西部证券策略首席进行一周路演回顾总结，所有参会者处于静音状态。会议强调，内容仅服务于西部证券研究所客户，不构成投资建议，投资决策需自行承担风险。专家发言代表个人观点，非公司立场。会议内容不涉密，禁止未经授权复制、刊载或转载，违者需承担法律责任。</w:t>
      </w:r>
    </w:p>
    <w:p>
      <w:r>
        <w:rPr>
          <w:rFonts w:ascii="等线(中文正文)" w:hAnsi="等线(中文正文)" w:cs="等线(中文正文)" w:eastAsia="等线(中文正文)"/>
          <w:b w:val="false"/>
          <w:i w:val="false"/>
          <w:sz w:val="20"/>
        </w:rPr>
        <w:t/>
      </w:r>
    </w:p>
    <w:p>
      <w:pPr>
        <w:pStyle w:val="ab"/>
        <w:numPr>
          <w:numId w:val="2"/>
        </w:numPr>
      </w:pPr>
      <w:r>
        <w:t>09:21 科技周期与佩雷斯框架下的市场调整</w:t>
      </w:r>
    </w:p>
    <w:p>
      <w:r>
        <w:rPr>
          <w:rFonts w:ascii="等线(中文正文)" w:hAnsi="等线(中文正文)" w:cs="等线(中文正文)" w:eastAsia="等线(中文正文)"/>
          <w:b w:val="false"/>
          <w:i w:val="false"/>
          <w:sz w:val="20"/>
        </w:rPr>
        <w:t>对话介绍了佩雷斯框架，阐述了科技周期的三个阶段：大规模资本开支、大调整与商业化闭环。当前市场处于大调整阶段，面临资本逻辑与商业模型的悖论，需通过股价暴跌实现所有权转移，从而推动商业化闭环的形成。历史上多次市场调整，如科网泡沫、股灾及新能源车暴跌，均体现了这一规律。</w:t>
      </w:r>
    </w:p>
    <w:p>
      <w:r>
        <w:rPr>
          <w:rFonts w:ascii="等线(中文正文)" w:hAnsi="等线(中文正文)" w:cs="等线(中文正文)" w:eastAsia="等线(中文正文)"/>
          <w:b w:val="false"/>
          <w:i w:val="false"/>
          <w:sz w:val="20"/>
        </w:rPr>
        <w:t/>
      </w:r>
    </w:p>
    <w:p>
      <w:pPr>
        <w:pStyle w:val="ab"/>
        <w:numPr>
          <w:numId w:val="3"/>
        </w:numPr>
      </w:pPr>
      <w:r>
        <w:t>13:25 平台经济政策转向与港股互联网估值翻倍机遇</w:t>
      </w:r>
    </w:p>
    <w:p>
      <w:r>
        <w:rPr>
          <w:rFonts w:ascii="等线(中文正文)" w:hAnsi="等线(中文正文)" w:cs="等线(中文正文)" w:eastAsia="等线(中文正文)"/>
          <w:b w:val="false"/>
          <w:i w:val="false"/>
          <w:sz w:val="20"/>
        </w:rPr>
        <w:t>对话讨论了政策变化对平台经济定位的影响，从公用事业转向AI科技，预计港股互联网估值将从10-12倍提升至25倍以上，存在翻倍投资机会，类比创新药板块估值修复路径。</w:t>
      </w:r>
    </w:p>
    <w:p>
      <w:r>
        <w:rPr>
          <w:rFonts w:ascii="等线(中文正文)" w:hAnsi="等线(中文正文)" w:cs="等线(中文正文)" w:eastAsia="等线(中文正文)"/>
          <w:b w:val="false"/>
          <w:i w:val="false"/>
          <w:sz w:val="20"/>
        </w:rPr>
        <w:t/>
      </w:r>
    </w:p>
    <w:p>
      <w:pPr>
        <w:pStyle w:val="ab"/>
        <w:numPr>
          <w:numId w:val="4"/>
        </w:numPr>
      </w:pPr>
      <w:r>
        <w:t>17:53 港股互联网估值错配与未来科技定价趋势</w:t>
      </w:r>
    </w:p>
    <w:p>
      <w:r>
        <w:rPr>
          <w:rFonts w:ascii="等线(中文正文)" w:hAnsi="等线(中文正文)" w:cs="等线(中文正文)" w:eastAsia="等线(中文正文)"/>
          <w:b w:val="false"/>
          <w:i w:val="false"/>
          <w:sz w:val="20"/>
        </w:rPr>
        <w:t>对话讨论了港股互联网公司当前面临的大模型能力同质化问题，预测其未来可能从科技股估值转向公用事业定价，同时指出平台经济可能演变为AI时代的新操作系统，整体强调了估值错配及其调整的重要性。</w:t>
      </w:r>
    </w:p>
    <w:p>
      <w:r>
        <w:rPr>
          <w:rFonts w:ascii="等线(中文正文)" w:hAnsi="等线(中文正文)" w:cs="等线(中文正文)" w:eastAsia="等线(中文正文)"/>
          <w:b w:val="false"/>
          <w:i w:val="false"/>
          <w:sz w:val="20"/>
        </w:rPr>
        <w:t/>
      </w:r>
    </w:p>
    <w:p>
      <w:pPr>
        <w:pStyle w:val="ab"/>
        <w:numPr>
          <w:numId w:val="5"/>
        </w:numPr>
      </w:pPr>
      <w:r>
        <w:t>20:53 美元指数下行与港股互联网投资机会</w:t>
      </w:r>
    </w:p>
    <w:p>
      <w:r>
        <w:rPr>
          <w:rFonts w:ascii="等线(中文正文)" w:hAnsi="等线(中文正文)" w:cs="等线(中文正文)" w:eastAsia="等线(中文正文)"/>
          <w:b w:val="false"/>
          <w:i w:val="false"/>
          <w:sz w:val="20"/>
        </w:rPr>
        <w:t>对话强调了美元指数对港股，尤其是港股互联网板块的影响。由于港股交易中有大量海外资金，美元指数的走势直接影响资本流动，进而影响港股表现。当前，美国经济增长预期放缓及美联储货币政策相对宽松，预计美元指数将下行，这将利好港股互联网板块，投资者应重视这一投资机会。</w:t>
      </w:r>
    </w:p>
    <w:p>
      <w:r>
        <w:rPr>
          <w:rFonts w:ascii="等线(中文正文)" w:hAnsi="等线(中文正文)" w:cs="等线(中文正文)" w:eastAsia="等线(中文正文)"/>
          <w:b w:val="false"/>
          <w:i w:val="false"/>
          <w:sz w:val="20"/>
        </w:rPr>
        <w:t/>
      </w:r>
    </w:p>
    <w:p>
      <w:pPr>
        <w:pStyle w:val="ab"/>
        <w:numPr>
          <w:numId w:val="6"/>
        </w:numPr>
      </w:pPr>
      <w:r>
        <w:t>23:16 投资策略分析：黄金有色、地产消费及港股互联网</w:t>
      </w:r>
    </w:p>
    <w:p>
      <w:r>
        <w:rPr>
          <w:rFonts w:ascii="等线(中文正文)" w:hAnsi="等线(中文正文)" w:cs="等线(中文正文)" w:eastAsia="等线(中文正文)"/>
          <w:b w:val="false"/>
          <w:i w:val="false"/>
          <w:sz w:val="20"/>
        </w:rPr>
        <w:t>会议重点讨论了三大投资方向：黄金有色因美元信用裂痕扩张预期金价回升，有色受益于黄金价格上升；地产消费领域，政策转向稳定市场，期待美联储降息后大礼包释放；港股互联网看好中长期回报，建议提前布局。</w:t>
      </w:r>
    </w:p>
    <w:p>
      <w:r>
        <w:rPr>
          <w:rFonts w:ascii="等线(中文正文)" w:hAnsi="等线(中文正文)" w:cs="等线(中文正文)" w:eastAsia="等线(中文正文)"/>
          <w:b w:val="false"/>
          <w:i w:val="false"/>
          <w:sz w:val="20"/>
        </w:rPr>
        <w:t/>
      </w:r>
    </w:p>
    <w:p>
      <w:pPr>
        <w:pStyle w:val="a7"/>
      </w:pPr>
      <w:r>
        <w:t>发言总结</w:t>
      </w:r>
    </w:p>
    <w:p>
      <w:pPr>
        <w:pStyle w:val="ab"/>
        <w:numPr>
          <w:numId w:val="7"/>
        </w:numPr>
      </w:pPr>
      <w:r>
        <w:t>发言人1</w:t>
      </w:r>
    </w:p>
    <w:p>
      <w:r>
        <w:rPr>
          <w:rFonts w:ascii="等线(中文正文)" w:hAnsi="等线(中文正文)" w:cs="等线(中文正文)" w:eastAsia="等线(中文正文)"/>
          <w:b w:val="false"/>
          <w:i w:val="false"/>
          <w:sz w:val="20"/>
        </w:rPr>
        <w:t>主持的财经电话会议主要聚焦于会议的开篇程序、对参会者的致谢、预告会议内容以及对西部证券研究所客户的专属服务说明。会议特别强调，内容不构成投资建议，参与者需独立作出决策并承担相应风险。发言人深入讨论了佩雷斯框架，指出科技周期经历三个阶段：大规模资本开支、大调整以及商业化闭环。当前处于大调整阶段，用诺亚方舟的比喻提醒投资者寻找合适的投资机会。
针对港股互联网，发言人分析，政策引导下，平台经济从公用事业向AI前沿科技转型，预示估值将大幅提升，成为巨大投资机会。投资逻辑主要关注美元指数，在其下行周期内，港股互联网有望迎来投资良机。此外，发言人还谈及了黄金有色、地产和消费领域，强调政策变化和美元指数对市场的影响，并推荐港股互联网作为投资方向。会议在感谢参会者后圆满结束。</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问：在佩雷斯框架下，科技周期的三个阶段具体是什么？</w:t>
      </w:r>
    </w:p>
    <w:p>
      <w:r>
        <w:rPr>
          <w:rFonts w:ascii="等线(中文正文)" w:hAnsi="等线(中文正文)" w:cs="等线(中文正文)" w:eastAsia="等线(中文正文)"/>
          <w:b w:val="false"/>
          <w:i w:val="false"/>
          <w:sz w:val="20"/>
        </w:rPr>
        <w:t>发言人1 答：佩雷斯框架将科技周期划分为三个阶段。第一阶段是大规模资本开支阶段，也被称为大机器时代，此时为了吸引资本进行大规模基础设施建设，上游关键商品的价格会被维持在高位以确保前期投资获得足够的回报。第二阶段为大调整阶段，在这个阶段中，资本逻辑与商业模型之间存在悖论，即资本逻辑需要上游商品价格高位以维护投资回报，而商业模型则需要将这些价格打到低位以形成闭环。这种悖论通过资本主义私有关系下的所有者关系转移，即股价暴跌后新资本以低价买入，降低整体资金成本，使得ROE模型能够运行，并促使商业模型在token价格低位时形成闭环。第三个阶段是商业化形成闭环阶段，此时上游商品价格明显回落，下游应用需求显著扩大。</w:t>
      </w:r>
    </w:p>
    <w:p>
      <w:r>
        <w:rPr>
          <w:rFonts w:ascii="等线(中文正文)" w:hAnsi="等线(中文正文)" w:cs="等线(中文正文)" w:eastAsia="等线(中文正文)"/>
          <w:b w:val="false"/>
          <w:i w:val="false"/>
          <w:sz w:val="20"/>
        </w:rPr>
        <w:t/>
      </w:r>
    </w:p>
    <w:p>
      <w:pPr>
        <w:pStyle w:val="ab"/>
      </w:pPr>
      <w:r>
        <w:t>发言人1 问：为什么在当前阶段寻找“诺亚方舟”（即能够穿越经济周期的稳定资产）和购买“船票”（如AI应用）很重要？</w:t>
      </w:r>
    </w:p>
    <w:p>
      <w:r>
        <w:rPr>
          <w:rFonts w:ascii="等线(中文正文)" w:hAnsi="等线(中文正文)" w:cs="等线(中文正文)" w:eastAsia="等线(中文正文)"/>
          <w:b w:val="false"/>
          <w:i w:val="false"/>
          <w:sz w:val="20"/>
        </w:rPr>
        <w:t>发言人1 答：在当前所处的接近第二个阶段的位置上，意味着我们正处在类似2000年科网泡沫、2015年股灾以及2022年新能源车暴跌等调整不可避免的周期性调整之中。为了应对这种不可避免的调整，寻找并购买代表新技术趋势和未来发展方向的“诺亚方舟”，如AI应用及其相关平台经济或港股互联网领域，是明智的投资策略。这些领域的投资可以帮助投资者穿越经济周期，实现长期稳定收益。</w:t>
      </w:r>
    </w:p>
    <w:p>
      <w:r>
        <w:rPr>
          <w:rFonts w:ascii="等线(中文正文)" w:hAnsi="等线(中文正文)" w:cs="等线(中文正文)" w:eastAsia="等线(中文正文)"/>
          <w:b w:val="false"/>
          <w:i w:val="false"/>
          <w:sz w:val="20"/>
        </w:rPr>
        <w:t/>
      </w:r>
    </w:p>
    <w:p>
      <w:pPr>
        <w:pStyle w:val="ab"/>
      </w:pPr>
      <w:r>
        <w:t>发言人1 问：港股互联网战略性看多的背后核心逻辑是什么？</w:t>
      </w:r>
    </w:p>
    <w:p>
      <w:r>
        <w:rPr>
          <w:rFonts w:ascii="等线(中文正文)" w:hAnsi="等线(中文正文)" w:cs="等线(中文正文)" w:eastAsia="等线(中文正文)"/>
          <w:b w:val="false"/>
          <w:i w:val="false"/>
          <w:sz w:val="20"/>
        </w:rPr>
        <w:t>发言人1 答：核心逻辑源于六月份七部委发布的促进平台经济大中小平台协同发展的行动方案，该政策标志着对平台经济定位的根本性变化，从之前的严监管周期转向促发展周期。</w:t>
      </w:r>
    </w:p>
    <w:p>
      <w:r>
        <w:rPr>
          <w:rFonts w:ascii="等线(中文正文)" w:hAnsi="等线(中文正文)" w:cs="等线(中文正文)" w:eastAsia="等线(中文正文)"/>
          <w:b w:val="false"/>
          <w:i w:val="false"/>
          <w:sz w:val="20"/>
        </w:rPr>
        <w:t/>
      </w:r>
    </w:p>
    <w:p>
      <w:pPr>
        <w:pStyle w:val="ab"/>
      </w:pPr>
      <w:r>
        <w:t>发言人1 问：这个政策对于港股互联网估值的影响是什么？</w:t>
      </w:r>
    </w:p>
    <w:p>
      <w:r>
        <w:rPr>
          <w:rFonts w:ascii="等线(中文正文)" w:hAnsi="等线(中文正文)" w:cs="等线(中文正文)" w:eastAsia="等线(中文正文)"/>
          <w:b w:val="false"/>
          <w:i w:val="false"/>
          <w:sz w:val="20"/>
        </w:rPr>
        <w:t>发言人1 答：根据政策调整，港股互联网的估值将从目前的10到12倍切换到AI前沿科技的估值水平，至少是20到30倍，甚至更高。这意味着未来一年内，港股互联网的估值存在翻倍的空间。</w:t>
      </w:r>
    </w:p>
    <w:p>
      <w:r>
        <w:rPr>
          <w:rFonts w:ascii="等线(中文正文)" w:hAnsi="等线(中文正文)" w:cs="等线(中文正文)" w:eastAsia="等线(中文正文)"/>
          <w:b w:val="false"/>
          <w:i w:val="false"/>
          <w:sz w:val="20"/>
        </w:rPr>
        <w:t/>
      </w:r>
    </w:p>
    <w:p>
      <w:pPr>
        <w:pStyle w:val="ab"/>
      </w:pPr>
      <w:r>
        <w:t>发言人1 问：如何比较当前港股互联网与医药行业的估值变化？</w:t>
      </w:r>
    </w:p>
    <w:p>
      <w:r>
        <w:rPr>
          <w:rFonts w:ascii="等线(中文正文)" w:hAnsi="等线(中文正文)" w:cs="等线(中文正文)" w:eastAsia="等线(中文正文)"/>
          <w:b w:val="false"/>
          <w:i w:val="false"/>
          <w:sz w:val="20"/>
        </w:rPr>
        <w:t>发言人1 答：类似于医药行业在带量采购政策下，其估值受到约束并从公用事业化向科技股类估值切换，港股互联网随着政策驱动的定位转变，也可能经历类似的估值修复过程，从10到12倍修复至25倍以上。</w:t>
      </w:r>
    </w:p>
    <w:p>
      <w:r>
        <w:rPr>
          <w:rFonts w:ascii="等线(中文正文)" w:hAnsi="等线(中文正文)" w:cs="等线(中文正文)" w:eastAsia="等线(中文正文)"/>
          <w:b w:val="false"/>
          <w:i w:val="false"/>
          <w:sz w:val="20"/>
        </w:rPr>
        <w:t/>
      </w:r>
    </w:p>
    <w:p>
      <w:pPr>
        <w:pStyle w:val="ab"/>
      </w:pPr>
      <w:r>
        <w:t>发言人1 问：AI大模型公司未来可能扮演什么样的角色？</w:t>
      </w:r>
    </w:p>
    <w:p>
      <w:r>
        <w:rPr>
          <w:rFonts w:ascii="等线(中文正文)" w:hAnsi="等线(中文正文)" w:cs="等线(中文正文)" w:eastAsia="等线(中文正文)"/>
          <w:b w:val="false"/>
          <w:i w:val="false"/>
          <w:sz w:val="20"/>
        </w:rPr>
        <w:t>发言人1 答：随着大模型能力差异化收窄，未来大模型公司可能会类似移动联通等PC互联网时代的手机流量运营商，即成为公用事业化的角色，其估值应从科技股转为公用事业类估值。</w:t>
      </w:r>
    </w:p>
    <w:p>
      <w:r>
        <w:rPr>
          <w:rFonts w:ascii="等线(中文正文)" w:hAnsi="等线(中文正文)" w:cs="等线(中文正文)" w:eastAsia="等线(中文正文)"/>
          <w:b w:val="false"/>
          <w:i w:val="false"/>
          <w:sz w:val="20"/>
        </w:rPr>
        <w:t/>
      </w:r>
    </w:p>
    <w:p>
      <w:pPr>
        <w:pStyle w:val="ab"/>
      </w:pPr>
      <w:r>
        <w:t>发言人1 问：当前为何看好港股互联网投资机会？</w:t>
      </w:r>
    </w:p>
    <w:p>
      <w:r>
        <w:rPr>
          <w:rFonts w:ascii="等线(中文正文)" w:hAnsi="等线(中文正文)" w:cs="等线(中文正文)" w:eastAsia="等线(中文正文)"/>
          <w:b w:val="false"/>
          <w:i w:val="false"/>
          <w:sz w:val="20"/>
        </w:rPr>
        <w:t>发言人1 答：看好港股互联网的原因还包括AI资本开支蓄势待发、北美链条AI资本开支出现松动导致美国经济增长预期放缓，以及美联储与欧洲央行货币政策的对比，使得美元指数可能下行，从而带动港股互联网进入上行周期。</w:t>
      </w:r>
    </w:p>
    <w:p>
      <w:r>
        <w:rPr>
          <w:rFonts w:ascii="等线(中文正文)" w:hAnsi="等线(中文正文)" w:cs="等线(中文正文)" w:eastAsia="等线(中文正文)"/>
          <w:b w:val="false"/>
          <w:i w:val="false"/>
          <w:sz w:val="20"/>
        </w:rPr>
        <w:t/>
      </w:r>
    </w:p>
    <w:p>
      <w:pPr>
        <w:pStyle w:val="ab"/>
      </w:pPr>
      <w:r>
        <w:t>发言人1 问：对于港股互联网的长期逻辑补充是什么？</w:t>
      </w:r>
    </w:p>
    <w:p>
      <w:r>
        <w:rPr>
          <w:rFonts w:ascii="等线(中文正文)" w:hAnsi="等线(中文正文)" w:cs="等线(中文正文)" w:eastAsia="等线(中文正文)"/>
          <w:b w:val="false"/>
          <w:i w:val="false"/>
          <w:sz w:val="20"/>
        </w:rPr>
        <w:t>发言人1 答：长期逻辑补充在于美元指数的走势对港股影响显著，尤其是对于港股中海外资金占比近60%的情况。美元指数上行时，全球资本回流美国，港股调整；美元指数下行时，资本流向全球，港股反弹。目前美元指数易下难上，且美国货币政策相较于欧洲更加宽松，这将对港股互联网产生积极影响。</w:t>
      </w:r>
    </w:p>
    <w:p>
      <w:r>
        <w:rPr>
          <w:rFonts w:ascii="等线(中文正文)" w:hAnsi="等线(中文正文)" w:cs="等线(中文正文)" w:eastAsia="等线(中文正文)"/>
          <w:b w:val="false"/>
          <w:i w:val="false"/>
          <w:sz w:val="20"/>
        </w:rPr>
        <w:t/>
      </w:r>
    </w:p>
    <w:p>
      <w:pPr>
        <w:pStyle w:val="ab"/>
      </w:pPr>
      <w:r>
        <w:t>发言人1 问：黄金有色这一方向的核心推荐理由是什么？</w:t>
      </w:r>
    </w:p>
    <w:p>
      <w:r>
        <w:rPr>
          <w:rFonts w:ascii="等线(中文正文)" w:hAnsi="等线(中文正文)" w:cs="等线(中文正文)" w:eastAsia="等线(中文正文)"/>
          <w:b w:val="false"/>
          <w:i w:val="false"/>
          <w:sz w:val="20"/>
        </w:rPr>
        <w:t>发言人1 答：我们强烈推荐黄金有色，主要是基于美联储可能在9月份不加息的预期。若这一事件发生，黄金定价模型将从美债实际利率定价切换回美元信用链和定价，由于特朗普时期美伊战争导致的霍尔木兹海峡管理权丧失，美元信用裂痕相较于当时金价高位时进一步扩张。因此，一旦金价定价模型回归美元信用裂痕定价，金价中枢将快速回升至5600美金，并有可能在年底前突破7000美金，这意味着黄金有色有接近50%到60%的上涨空间，且上涨确定性较高。</w:t>
      </w:r>
    </w:p>
    <w:p>
      <w:r>
        <w:rPr>
          <w:rFonts w:ascii="等线(中文正文)" w:hAnsi="等线(中文正文)" w:cs="等线(中文正文)" w:eastAsia="等线(中文正文)"/>
          <w:b w:val="false"/>
          <w:i w:val="false"/>
          <w:sz w:val="20"/>
        </w:rPr>
        <w:t/>
      </w:r>
    </w:p>
    <w:p>
      <w:pPr>
        <w:pStyle w:val="ab"/>
      </w:pPr>
      <w:r>
        <w:t>发言人1 问：有色板块为何值得关注？</w:t>
      </w:r>
    </w:p>
    <w:p>
      <w:r>
        <w:rPr>
          <w:rFonts w:ascii="等线(中文正文)" w:hAnsi="等线(中文正文)" w:cs="等线(中文正文)" w:eastAsia="等线(中文正文)"/>
          <w:b w:val="false"/>
          <w:i w:val="false"/>
          <w:sz w:val="20"/>
        </w:rPr>
        <w:t>发言人1 答：有色板块基本面EPS强劲，其上半年下跌主要源于估值杀跌，而随着四季度金价中枢的快速上行，将带动有色板块出现戴维斯双击，因此黄金有色均值得重视。</w:t>
      </w:r>
    </w:p>
    <w:p>
      <w:r>
        <w:rPr>
          <w:rFonts w:ascii="等线(中文正文)" w:hAnsi="等线(中文正文)" w:cs="等线(中文正文)" w:eastAsia="等线(中文正文)"/>
          <w:b w:val="false"/>
          <w:i w:val="false"/>
          <w:sz w:val="20"/>
        </w:rPr>
        <w:t/>
      </w:r>
    </w:p>
    <w:p>
      <w:pPr>
        <w:pStyle w:val="ab"/>
      </w:pPr>
      <w:r>
        <w:t>发言人1 问：地产和消费领域的推荐逻辑是什么？</w:t>
      </w:r>
    </w:p>
    <w:p>
      <w:r>
        <w:rPr>
          <w:rFonts w:ascii="等线(中文正文)" w:hAnsi="等线(中文正文)" w:cs="等线(中文正文)" w:eastAsia="等线(中文正文)"/>
          <w:b w:val="false"/>
          <w:i w:val="false"/>
          <w:sz w:val="20"/>
        </w:rPr>
        <w:t>发言人1 答：推荐地产和消费领域，主要是因为政策已出现根本性转向，且政治局会议明确表示要将稳定房地产市场等任务提升至确保经济安全屏障的高度，即意味着政策将坚决守住地产行业不发生系统性风险的底线。类似2024年的情况，当美联储降息并跨境财富回流带来货币环境宽松后，国内财政政策空间才能打开。今年7月底的政治局会议指明了方向但未给出具体大礼包，预计在确认9月18日美联储不加息甚至降息后，相关的大礼包政策可能会落地，这将为地产股带来至少2到3倍股价上涨空间。</w:t>
      </w:r>
    </w:p>
    <w:p>
      <w:r>
        <w:rPr>
          <w:rFonts w:ascii="等线(中文正文)" w:hAnsi="等线(中文正文)" w:cs="等线(中文正文)" w:eastAsia="等线(中文正文)"/>
          <w:b w:val="false"/>
          <w:i w:val="false"/>
          <w:sz w:val="20"/>
        </w:rPr>
        <w:t/>
      </w:r>
    </w:p>
    <w:p>
      <w:pPr>
        <w:pStyle w:val="ab"/>
      </w:pPr>
      <w:r>
        <w:t>发言人1 问：对于港股互联网的看法如何？</w:t>
      </w:r>
    </w:p>
    <w:p>
      <w:r>
        <w:rPr>
          <w:rFonts w:ascii="等线(中文正文)" w:hAnsi="等线(中文正文)" w:cs="等线(中文正文)" w:eastAsia="等线(中文正文)"/>
          <w:b w:val="false"/>
          <w:i w:val="false"/>
          <w:sz w:val="20"/>
        </w:rPr>
        <w:t>发言人1 答：我们认为港股互联网在未来一年内具有翻倍的股价上涨潜力，但短期弹性可能不如海外30 chains。建议投资者采取中长期配置布局策略，随着政策红利不断累积，2025年和2026年的回报将非常丰厚。目前购买港股互联网资产，类似于在2020年布局海外30 chains，虽短期弹性不高，但中长期持有将带来丰厚回报。</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2026-08-16T01:55:30Z</dcterms:created>
  <dc:creator>Apache POI</dc:creator>
</cp:coreProperties>
</file>