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锐捷网络 260814_导读</w:t>
      </w:r>
    </w:p>
    <w:p>
      <w:pPr>
        <w:pStyle w:val="a0"/>
        <w:jc w:val="center"/>
      </w:pPr>
      <w:r>
        <w:t>2026年08月16日 09:52</w:t>
      </w:r>
    </w:p>
    <w:p>
      <w:pPr>
        <w:pStyle w:val="a7"/>
      </w:pPr>
      <w:r>
        <w:t>关键词</w:t>
      </w:r>
    </w:p>
    <w:p>
      <w:r>
        <w:rPr>
          <w:rFonts w:ascii="等线(中文正文)" w:hAnsi="等线(中文正文)" w:cs="等线(中文正文)" w:eastAsia="等线(中文正文)"/>
          <w:b w:val="false"/>
          <w:i w:val="false"/>
          <w:sz w:val="20"/>
        </w:rPr>
        <w:t xml:space="preserve">数据中心 营收 增长 AI 网络设备 海外 毛利率 研发投入 互联网 园区网 中小企业 销售模式 直销 经销 网络安全 云桌面 800G 400G 光交换 CPO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瑞杰公司在上半年实现了显著增长，收入和净利润分别同比增长33%和50%，业绩亮眼，彰显了其在国内战略建设和交换机市场的领先地位。公司专注于数据中心、企业级市场、中小企业网络市场及海外市场等不同业务板块，展现了全面的市场覆盖和强劲的竞争力。在研发、销售模式和费用控制方面，瑞杰持续优化，以应对市场挑战。面向未来，公司紧抓AI机遇，强化重点行业资源投入，同时灵活应对供应链及市场需求变化，致力于达成全年业绩目标，以回报投资者。</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瑞杰半年报业绩说明会：AI驱动营收增长33%</w:t>
      </w:r>
    </w:p>
    <w:p>
      <w:r>
        <w:rPr>
          <w:rFonts w:ascii="等线(中文正文)" w:hAnsi="等线(中文正文)" w:cs="等线(中文正文)" w:eastAsia="等线(中文正文)"/>
          <w:b w:val="false"/>
          <w:i w:val="false"/>
          <w:sz w:val="20"/>
        </w:rPr>
        <w:t>瑞杰在2023年上半年实现营收88亿元，同比增长33%，净利润6.9亿元，同比增长53%。AI行业需求激增推动了数据中心业务的显著增长，尤其在第二季度表现突出。尽管经济环境复杂，公司通过重点行业资源投入和效率提升，保持了良好的毛利率和净资产收益率，综合毛利率为31.6%，加权平均净资产收益率达13%，增加了3.5个百分点。</w:t>
      </w:r>
    </w:p>
    <w:p>
      <w:r>
        <w:rPr>
          <w:rFonts w:ascii="等线(中文正文)" w:hAnsi="等线(中文正文)" w:cs="等线(中文正文)" w:eastAsia="等线(中文正文)"/>
          <w:b w:val="false"/>
          <w:i w:val="false"/>
          <w:sz w:val="20"/>
        </w:rPr>
        <w:t/>
      </w:r>
    </w:p>
    <w:p>
      <w:pPr>
        <w:pStyle w:val="ab"/>
        <w:numPr>
          <w:numId w:val="2"/>
        </w:numPr>
      </w:pPr>
      <w:r>
        <w:t>04:22 瑞杰集团半年度财务与业务分析报告</w:t>
      </w:r>
    </w:p>
    <w:p>
      <w:r>
        <w:rPr>
          <w:rFonts w:ascii="等线(中文正文)" w:hAnsi="等线(中文正文)" w:cs="等线(中文正文)" w:eastAsia="等线(中文正文)"/>
          <w:b w:val="false"/>
          <w:i w:val="false"/>
          <w:sz w:val="20"/>
        </w:rPr>
        <w:t>瑞杰集团上半年网络设备、网络安全和语音桌面三大业务板块收入分别为81亿、2.4亿和2亿，同比增长38%、15%和10%。境内收入67亿，增长22%；海外收入21亿，激增85%，占比提升至23.98%。直销模式收入59亿，占总收入67%，增长50%；经销模式收入29亿，占33%，略有增长。期间费用20亿，增长14%，费用率下降3个百分点。研发投入10.2亿，增长20%，保持技术迭代准备。</w:t>
      </w:r>
    </w:p>
    <w:p>
      <w:r>
        <w:rPr>
          <w:rFonts w:ascii="等线(中文正文)" w:hAnsi="等线(中文正文)" w:cs="等线(中文正文)" w:eastAsia="等线(中文正文)"/>
          <w:b w:val="false"/>
          <w:i w:val="false"/>
          <w:sz w:val="20"/>
        </w:rPr>
        <w:t/>
      </w:r>
    </w:p>
    <w:p>
      <w:pPr>
        <w:pStyle w:val="ab"/>
        <w:numPr>
          <w:numId w:val="3"/>
        </w:numPr>
      </w:pPr>
      <w:r>
        <w:t>07:56 数据中心网络市场半年营收增长58%，800G产品销售大幅提升</w:t>
      </w:r>
    </w:p>
    <w:p>
      <w:r>
        <w:rPr>
          <w:rFonts w:ascii="等线(中文正文)" w:hAnsi="等线(中文正文)" w:cs="等线(中文正文)" w:eastAsia="等线(中文正文)"/>
          <w:b w:val="false"/>
          <w:i w:val="false"/>
          <w:sz w:val="20"/>
        </w:rPr>
        <w:t>公司上半年数据中心网络市场营收达56亿元，同比增长58%，占总营收64%。400G和800G高速数据产品表现突出，其中800G产品上半年销售额达19亿元，同比增长300%以上。公司推出800G格式交换机、超级能整机柜等创新产品，并在光网络、AI端到端解决方案等领域取得进展，应用覆盖阿里、腾讯等大厂及运营商。</w:t>
      </w:r>
    </w:p>
    <w:p>
      <w:r>
        <w:rPr>
          <w:rFonts w:ascii="等线(中文正文)" w:hAnsi="等线(中文正文)" w:cs="等线(中文正文)" w:eastAsia="等线(中文正文)"/>
          <w:b w:val="false"/>
          <w:i w:val="false"/>
          <w:sz w:val="20"/>
        </w:rPr>
        <w:t/>
      </w:r>
    </w:p>
    <w:p>
      <w:pPr>
        <w:pStyle w:val="ab"/>
        <w:numPr>
          <w:numId w:val="4"/>
        </w:numPr>
      </w:pPr>
      <w:r>
        <w:t>11:29 企业上半年经营情况分享与市场分析</w:t>
      </w:r>
    </w:p>
    <w:p>
      <w:r>
        <w:rPr>
          <w:rFonts w:ascii="等线(中文正文)" w:hAnsi="等线(中文正文)" w:cs="等线(中文正文)" w:eastAsia="等线(中文正文)"/>
          <w:b w:val="false"/>
          <w:i w:val="false"/>
          <w:sz w:val="20"/>
        </w:rPr>
        <w:t>分享了企业上半年在企业级市场、SMB市场及海外市场的经营成果，EBG营收11.2亿元同比增长24%，SMB市场营收17.1亿元同比增长15%，境外销售21亿元同比增长84%。通过聚焦行业、推出解决方案及品牌矩阵，实现稳健增长。问答环节即将开始，网络端参会者可文字提问。</w:t>
      </w:r>
    </w:p>
    <w:p>
      <w:r>
        <w:rPr>
          <w:rFonts w:ascii="等线(中文正文)" w:hAnsi="等线(中文正文)" w:cs="等线(中文正文)" w:eastAsia="等线(中文正文)"/>
          <w:b w:val="false"/>
          <w:i w:val="false"/>
          <w:sz w:val="20"/>
        </w:rPr>
        <w:t/>
      </w:r>
    </w:p>
    <w:p>
      <w:pPr>
        <w:pStyle w:val="ab"/>
        <w:numPr>
          <w:numId w:val="5"/>
        </w:numPr>
      </w:pPr>
      <w:r>
        <w:t>15:28 数据中心市场增长与AI算力需求分析</w:t>
      </w:r>
    </w:p>
    <w:p>
      <w:r>
        <w:rPr>
          <w:rFonts w:ascii="等线(中文正文)" w:hAnsi="等线(中文正文)" w:cs="等线(中文正文)" w:eastAsia="等线(中文正文)"/>
          <w:b w:val="false"/>
          <w:i w:val="false"/>
          <w:sz w:val="20"/>
        </w:rPr>
        <w:t>对话围绕数据中心市场增长机会展开，指出上半年国内互联网大厂如阿里、字节和腾讯的算力基础建设投入显著，推动业绩增长。下半年至明年，AI算力需求端拉动明显，包括国产大模型下载量突破100亿次，算力租赁合同大幅增加，预示着数据中心行业将持续迎来高速投入与增量阶段。</w:t>
      </w:r>
    </w:p>
    <w:p>
      <w:r>
        <w:rPr>
          <w:rFonts w:ascii="等线(中文正文)" w:hAnsi="等线(中文正文)" w:cs="等线(中文正文)" w:eastAsia="等线(中文正文)"/>
          <w:b w:val="false"/>
          <w:i w:val="false"/>
          <w:sz w:val="20"/>
        </w:rPr>
        <w:t/>
      </w:r>
    </w:p>
    <w:p>
      <w:pPr>
        <w:pStyle w:val="ab"/>
        <w:numPr>
          <w:numId w:val="6"/>
        </w:numPr>
      </w:pPr>
      <w:r>
        <w:t>19:53 算力基建与网络设备商的新机遇</w:t>
      </w:r>
    </w:p>
    <w:p>
      <w:r>
        <w:rPr>
          <w:rFonts w:ascii="等线(中文正文)" w:hAnsi="等线(中文正文)" w:cs="等线(中文正文)" w:eastAsia="等线(中文正文)"/>
          <w:b w:val="false"/>
          <w:i w:val="false"/>
          <w:sz w:val="20"/>
        </w:rPr>
        <w:t>随着AI算力基建的快速发展，网络设备供应商面临新的挑战与机遇。传统网络设备厂商需转型，提供从交换机到端到端解决方案的全站式服务，满足云厂商对高效互联的需求。未来，专业厂商需协助用户进行协同设计，优化网络效率，降低成本，以适应AI基建后高速成长期的市场需求，展现专业能力。</w:t>
      </w:r>
    </w:p>
    <w:p>
      <w:r>
        <w:rPr>
          <w:rFonts w:ascii="等线(中文正文)" w:hAnsi="等线(中文正文)" w:cs="等线(中文正文)" w:eastAsia="等线(中文正文)"/>
          <w:b w:val="false"/>
          <w:i w:val="false"/>
          <w:sz w:val="20"/>
        </w:rPr>
        <w:t/>
      </w:r>
    </w:p>
    <w:p>
      <w:pPr>
        <w:pStyle w:val="ab"/>
        <w:numPr>
          <w:numId w:val="7"/>
        </w:numPr>
      </w:pPr>
      <w:r>
        <w:t>23:53 数据中心交换机增速趋势与市场分析</w:t>
      </w:r>
    </w:p>
    <w:p>
      <w:r>
        <w:rPr>
          <w:rFonts w:ascii="等线(中文正文)" w:hAnsi="等线(中文正文)" w:cs="等线(中文正文)" w:eastAsia="等线(中文正文)"/>
          <w:b w:val="false"/>
          <w:i w:val="false"/>
          <w:sz w:val="20"/>
        </w:rPr>
        <w:t>对话探讨了数据中心交换机在AI与算力应用推动下的增长趋势。指出随着网络节点在系统解决方案中占比提升，交换设备需求量增加，预计未来增速将超过整体数据中心建设增速，市场正处于高速增长阶段，趋势将持续至明年。</w:t>
      </w:r>
    </w:p>
    <w:p>
      <w:r>
        <w:rPr>
          <w:rFonts w:ascii="等线(中文正文)" w:hAnsi="等线(中文正文)" w:cs="等线(中文正文)" w:eastAsia="等线(中文正文)"/>
          <w:b w:val="false"/>
          <w:i w:val="false"/>
          <w:sz w:val="20"/>
        </w:rPr>
        <w:t/>
      </w:r>
    </w:p>
    <w:p>
      <w:pPr>
        <w:pStyle w:val="ab"/>
        <w:numPr>
          <w:numId w:val="8"/>
        </w:numPr>
      </w:pPr>
      <w:r>
        <w:t>26:39 供应链紧张下的芯片备货与存货管理策略</w:t>
      </w:r>
    </w:p>
    <w:p>
      <w:r>
        <w:rPr>
          <w:rFonts w:ascii="等线(中文正文)" w:hAnsi="等线(中文正文)" w:cs="等线(中文正文)" w:eastAsia="等线(中文正文)"/>
          <w:b w:val="false"/>
          <w:i w:val="false"/>
          <w:sz w:val="20"/>
        </w:rPr>
        <w:t>对话讨论了芯片供应链紧张的现状，特别是国通作为全球化供应商面临的挑战。公司已采取战略供应商关系管理和提前备货措施，确保了上半年交付未受重大影响。尽管短期内供应链紧张难以缓解，但公司供应链管理体系有效保障了客户需求。对话还提及了预付规模的显著增长，以及对未来存货结构和供给保障的预期。</w:t>
      </w:r>
    </w:p>
    <w:p>
      <w:r>
        <w:rPr>
          <w:rFonts w:ascii="等线(中文正文)" w:hAnsi="等线(中文正文)" w:cs="等线(中文正文)" w:eastAsia="等线(中文正文)"/>
          <w:b w:val="false"/>
          <w:i w:val="false"/>
          <w:sz w:val="20"/>
        </w:rPr>
        <w:t/>
      </w:r>
    </w:p>
    <w:p>
      <w:pPr>
        <w:pStyle w:val="ab"/>
        <w:numPr>
          <w:numId w:val="9"/>
        </w:numPr>
      </w:pPr>
      <w:r>
        <w:t>29:31 公司原材料储备与现金流管理策略</w:t>
      </w:r>
    </w:p>
    <w:p>
      <w:r>
        <w:rPr>
          <w:rFonts w:ascii="等线(中文正文)" w:hAnsi="等线(中文正文)" w:cs="等线(中文正文)" w:eastAsia="等线(中文正文)"/>
          <w:b w:val="false"/>
          <w:i w:val="false"/>
          <w:sz w:val="20"/>
        </w:rPr>
        <w:t>对话围绕公司原材料储备的显著增长及其对现金流的影响展开，强调了提前布局与供应商合作以确保重点市场供应的重要性。同时，提及与银行深化合作，增加授信额度，以应对互联网市场增长的资金需求。指出存货与现金流的变化趋势与业务增长相匹配，表明公司已做好充分准备应对供应形式变化，保障产品供应。</w:t>
      </w:r>
    </w:p>
    <w:p>
      <w:r>
        <w:rPr>
          <w:rFonts w:ascii="等线(中文正文)" w:hAnsi="等线(中文正文)" w:cs="等线(中文正文)" w:eastAsia="等线(中文正文)"/>
          <w:b w:val="false"/>
          <w:i w:val="false"/>
          <w:sz w:val="20"/>
        </w:rPr>
        <w:t/>
      </w:r>
    </w:p>
    <w:p>
      <w:pPr>
        <w:pStyle w:val="ab"/>
        <w:numPr>
          <w:numId w:val="10"/>
        </w:numPr>
      </w:pPr>
      <w:r>
        <w:t>33:19 数据中心营收与超节点发展探讨</w:t>
      </w:r>
    </w:p>
    <w:p>
      <w:r>
        <w:rPr>
          <w:rFonts w:ascii="等线(中文正文)" w:hAnsi="等线(中文正文)" w:cs="等线(中文正文)" w:eastAsia="等线(中文正文)"/>
          <w:b w:val="false"/>
          <w:i w:val="false"/>
          <w:sz w:val="20"/>
        </w:rPr>
        <w:t>对话围绕数据中心营收及超节点技术展开。上半年数据中心营收57亿，其中400G与800G产品分别贡献30亿与19亿。超节点技术展示旨在展现研发实力与业务扩展，预计下半年及未来将有更大发展。</w:t>
      </w:r>
    </w:p>
    <w:p>
      <w:r>
        <w:rPr>
          <w:rFonts w:ascii="等线(中文正文)" w:hAnsi="等线(中文正文)" w:cs="等线(中文正文)" w:eastAsia="等线(中文正文)"/>
          <w:b w:val="false"/>
          <w:i w:val="false"/>
          <w:sz w:val="20"/>
        </w:rPr>
        <w:t/>
      </w:r>
    </w:p>
    <w:p>
      <w:pPr>
        <w:pStyle w:val="ab"/>
        <w:numPr>
          <w:numId w:val="11"/>
        </w:numPr>
      </w:pPr>
      <w:r>
        <w:t>37:47 数据中心营收与大模型厂商需求趋势分析</w:t>
      </w:r>
    </w:p>
    <w:p>
      <w:r>
        <w:rPr>
          <w:rFonts w:ascii="等线(中文正文)" w:hAnsi="等线(中文正文)" w:cs="等线(中文正文)" w:eastAsia="等线(中文正文)"/>
          <w:b w:val="false"/>
          <w:i w:val="false"/>
          <w:sz w:val="20"/>
        </w:rPr>
        <w:t>对话探讨了数据中心营收中来自大模型厂商的需求占比及其未来趋势。当前，数据中心营收主要由互联网厂商贡献，约占90%，其余10%包括算力租赁和与大模型厂商合作的服务商。尽管大模型厂商的需求尚未显著体现在营收中，但已观察到相关需求的增长趋势，预计未来将成为数据中心营收的重要组成部分，此过程将由市场自然推动。</w:t>
      </w:r>
    </w:p>
    <w:p>
      <w:r>
        <w:rPr>
          <w:rFonts w:ascii="等线(中文正文)" w:hAnsi="等线(中文正文)" w:cs="等线(中文正文)" w:eastAsia="等线(中文正文)"/>
          <w:b w:val="false"/>
          <w:i w:val="false"/>
          <w:sz w:val="20"/>
        </w:rPr>
        <w:t/>
      </w:r>
    </w:p>
    <w:p>
      <w:pPr>
        <w:pStyle w:val="ab"/>
        <w:numPr>
          <w:numId w:val="12"/>
        </w:numPr>
      </w:pPr>
      <w:r>
        <w:t>39:33 超越点业务营收展望与产品形态分析</w:t>
      </w:r>
    </w:p>
    <w:p>
      <w:r>
        <w:rPr>
          <w:rFonts w:ascii="等线(中文正文)" w:hAnsi="等线(中文正文)" w:cs="等线(中文正文)" w:eastAsia="等线(中文正文)"/>
          <w:b w:val="false"/>
          <w:i w:val="false"/>
          <w:sz w:val="20"/>
        </w:rPr>
        <w:t>投资者询问了超越点业务的营收潜力及产品形态。上半年超越点收入约1亿，下半年预计仍以组件形式销售为主，受限于市场招标模式。未来计划推出整体解决方案，具体形式将根据市场需求和合作伙伴情况决定。</w:t>
      </w:r>
    </w:p>
    <w:p>
      <w:r>
        <w:rPr>
          <w:rFonts w:ascii="等线(中文正文)" w:hAnsi="等线(中文正文)" w:cs="等线(中文正文)" w:eastAsia="等线(中文正文)"/>
          <w:b w:val="false"/>
          <w:i w:val="false"/>
          <w:sz w:val="20"/>
        </w:rPr>
        <w:t/>
      </w:r>
    </w:p>
    <w:p>
      <w:pPr>
        <w:pStyle w:val="ab"/>
        <w:numPr>
          <w:numId w:val="13"/>
        </w:numPr>
      </w:pPr>
      <w:r>
        <w:t>42:34 数据中心营收占比与未来需求增速分析</w:t>
      </w:r>
    </w:p>
    <w:p>
      <w:r>
        <w:rPr>
          <w:rFonts w:ascii="等线(中文正文)" w:hAnsi="等线(中文正文)" w:cs="等线(中文正文)" w:eastAsia="等线(中文正文)"/>
          <w:b w:val="false"/>
          <w:i w:val="false"/>
          <w:sz w:val="20"/>
        </w:rPr>
        <w:t>讨论了数据中心相关业务占总营收的比重，预估全年营收占比及800G产品销售增长。分析了今年数据中心需求增速及明年预测，基于云厂商投资和网络节点占比，预计未来增速至少50%。</w:t>
      </w:r>
    </w:p>
    <w:p>
      <w:r>
        <w:rPr>
          <w:rFonts w:ascii="等线(中文正文)" w:hAnsi="等线(中文正文)" w:cs="等线(中文正文)" w:eastAsia="等线(中文正文)"/>
          <w:b w:val="false"/>
          <w:i w:val="false"/>
          <w:sz w:val="20"/>
        </w:rPr>
        <w:t/>
      </w:r>
    </w:p>
    <w:p>
      <w:pPr>
        <w:pStyle w:val="ab"/>
        <w:numPr>
          <w:numId w:val="14"/>
        </w:numPr>
      </w:pPr>
      <w:r>
        <w:t>48:40 超节点K与数据中心交换机毛利率分析及未来芯片供货预期</w:t>
      </w:r>
    </w:p>
    <w:p>
      <w:r>
        <w:rPr>
          <w:rFonts w:ascii="等线(中文正文)" w:hAnsi="等线(中文正文)" w:cs="等线(中文正文)" w:eastAsia="等线(中文正文)"/>
          <w:b w:val="false"/>
          <w:i w:val="false"/>
          <w:sz w:val="20"/>
        </w:rPr>
        <w:t>讨论了超节点K与数据中心交换机毛利率的差异，指出两者毛利率相近，无显著变动。提及800G与400G交换机成本差异不大，毛利率相近。预计PT6芯片交换机今年下半年少量供货，2027年实现大规模供货，明年上半年某大厂将进入批量部署阶段。</w:t>
      </w:r>
    </w:p>
    <w:p>
      <w:r>
        <w:rPr>
          <w:rFonts w:ascii="等线(中文正文)" w:hAnsi="等线(中文正文)" w:cs="等线(中文正文)" w:eastAsia="等线(中文正文)"/>
          <w:b w:val="false"/>
          <w:i w:val="false"/>
          <w:sz w:val="20"/>
        </w:rPr>
        <w:t/>
      </w:r>
    </w:p>
    <w:p>
      <w:pPr>
        <w:pStyle w:val="ab"/>
        <w:numPr>
          <w:numId w:val="15"/>
        </w:numPr>
      </w:pPr>
      <w:r>
        <w:t>52:21 超节点上游物料国产化与竞争趋势探讨</w:t>
      </w:r>
    </w:p>
    <w:p>
      <w:r>
        <w:rPr>
          <w:rFonts w:ascii="等线(中文正文)" w:hAnsi="等线(中文正文)" w:cs="等线(中文正文)" w:eastAsia="等线(中文正文)"/>
          <w:b w:val="false"/>
          <w:i w:val="false"/>
          <w:sz w:val="20"/>
        </w:rPr>
        <w:t>对话围绕超节点上游物料的国产化路径展开，讨论了当前海外交换芯片主导市场背景下，国内芯片逐步成熟对国产化的影响，及未来可能的市场趋势。同时，针对超节点方案中计算与网络节点的分工合作模式，分析了分开招标与整体打包生产的市场驱动因素，强调用户需求对技术路线选择的决定性作用。</w:t>
      </w:r>
    </w:p>
    <w:p>
      <w:r>
        <w:rPr>
          <w:rFonts w:ascii="等线(中文正文)" w:hAnsi="等线(中文正文)" w:cs="等线(中文正文)" w:eastAsia="等线(中文正文)"/>
          <w:b w:val="false"/>
          <w:i w:val="false"/>
          <w:sz w:val="20"/>
        </w:rPr>
        <w:t/>
      </w:r>
    </w:p>
    <w:p>
      <w:pPr>
        <w:pStyle w:val="ab"/>
        <w:numPr>
          <w:numId w:val="16"/>
        </w:numPr>
      </w:pPr>
      <w:r>
        <w:t>57:04 公司净利率提升原因及未来趋势分析</w:t>
      </w:r>
    </w:p>
    <w:p>
      <w:r>
        <w:rPr>
          <w:rFonts w:ascii="等线(中文正文)" w:hAnsi="等线(中文正文)" w:cs="等线(中文正文)" w:eastAsia="等线(中文正文)"/>
          <w:b w:val="false"/>
          <w:i w:val="false"/>
          <w:sz w:val="20"/>
        </w:rPr>
        <w:t>对话围绕公司上半年净利率显著提升的原因展开，指出在毛利率下降的背景下，通过有效管控销售和管理费用，实现净利润率增长。讨论了销售模式变化对毛利及净利润率的影响，并预测全年净利润率将在合理范围内波动，管理层将采取措施应对销售模式变化带来的挑战。</w:t>
      </w:r>
    </w:p>
    <w:p>
      <w:r>
        <w:rPr>
          <w:rFonts w:ascii="等线(中文正文)" w:hAnsi="等线(中文正文)" w:cs="等线(中文正文)" w:eastAsia="等线(中文正文)"/>
          <w:b w:val="false"/>
          <w:i w:val="false"/>
          <w:sz w:val="20"/>
        </w:rPr>
        <w:t/>
      </w:r>
    </w:p>
    <w:p>
      <w:pPr>
        <w:pStyle w:val="ab"/>
        <w:numPr>
          <w:numId w:val="17"/>
        </w:numPr>
      </w:pPr>
      <w:r>
        <w:t>01:00:32 数据中心交换机营收增速与AI投资关系探讨</w:t>
      </w:r>
    </w:p>
    <w:p>
      <w:r>
        <w:rPr>
          <w:rFonts w:ascii="等线(中文正文)" w:hAnsi="等线(中文正文)" w:cs="等线(中文正文)" w:eastAsia="等线(中文正文)"/>
          <w:b w:val="false"/>
          <w:i w:val="false"/>
          <w:sz w:val="20"/>
        </w:rPr>
        <w:t>对话讨论了腾讯大幅增加资本开支，特别是对AI领域的投资，以及这对数据中心市场需求端增速的影响。认为腾讯等互联网厂商加大AI应用生态构建的投资，将显著提升对高性能网络设备的需求，包括低时延、高带宽、安全性等特性，从而拉动数据中心交换机的营收增长。</w:t>
      </w:r>
    </w:p>
    <w:p>
      <w:r>
        <w:rPr>
          <w:rFonts w:ascii="等线(中文正文)" w:hAnsi="等线(中文正文)" w:cs="等线(中文正文)" w:eastAsia="等线(中文正文)"/>
          <w:b w:val="false"/>
          <w:i w:val="false"/>
          <w:sz w:val="20"/>
        </w:rPr>
        <w:t/>
      </w:r>
    </w:p>
    <w:p>
      <w:pPr>
        <w:pStyle w:val="ab"/>
        <w:numPr>
          <w:numId w:val="18"/>
        </w:numPr>
      </w:pPr>
      <w:r>
        <w:t>01:03:35 海外业务增长与毛利率下降原因分析</w:t>
      </w:r>
    </w:p>
    <w:p>
      <w:r>
        <w:rPr>
          <w:rFonts w:ascii="等线(中文正文)" w:hAnsi="等线(中文正文)" w:cs="等线(中文正文)" w:eastAsia="等线(中文正文)"/>
          <w:b w:val="false"/>
          <w:i w:val="false"/>
          <w:sz w:val="20"/>
        </w:rPr>
        <w:t>对话围绕公司上半年海外业务快速增长但毛利率下降的现象展开，指出由于产品结构调整，包括增加低毛利产品以建设市场渠道，导致毛利率短期下降。管理层表示，这不会影响长期的海外扩展战略，且产品线覆盖广泛，包括面向不同客户需求的多种产品。</w:t>
      </w:r>
    </w:p>
    <w:p>
      <w:r>
        <w:rPr>
          <w:rFonts w:ascii="等线(中文正文)" w:hAnsi="等线(中文正文)" w:cs="等线(中文正文)" w:eastAsia="等线(中文正文)"/>
          <w:b w:val="false"/>
          <w:i w:val="false"/>
          <w:sz w:val="20"/>
        </w:rPr>
        <w:t/>
      </w:r>
    </w:p>
    <w:p>
      <w:pPr>
        <w:pStyle w:val="ab"/>
        <w:numPr>
          <w:numId w:val="19"/>
        </w:numPr>
      </w:pPr>
      <w:r>
        <w:t>01:06:34 智能工厂三期建设与高速产品产能规划</w:t>
      </w:r>
    </w:p>
    <w:p>
      <w:r>
        <w:rPr>
          <w:rFonts w:ascii="等线(中文正文)" w:hAnsi="等线(中文正文)" w:cs="等线(中文正文)" w:eastAsia="等线(中文正文)"/>
          <w:b w:val="false"/>
          <w:i w:val="false"/>
          <w:sz w:val="20"/>
        </w:rPr>
        <w:t>对话围绕智能工厂三期建设进展及未来产能规划展开，讨论了当前高速数据中心交换机生产面临的交付压力，以及通过自建产线、租赁厂房等方式解决产能瓶颈的策略。同时，提及了400G及以上高速产品相较于传统产品的价值量提升情况，预估价格可高出30%以上。</w:t>
      </w:r>
    </w:p>
    <w:p>
      <w:r>
        <w:rPr>
          <w:rFonts w:ascii="等线(中文正文)" w:hAnsi="等线(中文正文)" w:cs="等线(中文正文)" w:eastAsia="等线(中文正文)"/>
          <w:b w:val="false"/>
          <w:i w:val="false"/>
          <w:sz w:val="20"/>
        </w:rPr>
        <w:t/>
      </w:r>
    </w:p>
    <w:p>
      <w:pPr>
        <w:pStyle w:val="ab"/>
        <w:numPr>
          <w:numId w:val="20"/>
        </w:numPr>
      </w:pPr>
      <w:r>
        <w:t>01:10:49 博通芯片短缺引发国内4S店考虑英伟达等替代方案</w:t>
      </w:r>
    </w:p>
    <w:p>
      <w:r>
        <w:rPr>
          <w:rFonts w:ascii="等线(中文正文)" w:hAnsi="等线(中文正文)" w:cs="等线(中文正文)" w:eastAsia="等线(中文正文)"/>
          <w:b w:val="false"/>
          <w:i w:val="false"/>
          <w:sz w:val="20"/>
        </w:rPr>
        <w:t>由于博通交换芯片供应紧张，交期长，国内4S店厂商开始考虑英伟达等海外厂商的以太网交换芯片作为替代。尽管有其他具备同类规格产品能力的厂商，但目前尚未形成独立技术路线。非华为体系的厂商在国产化需求之外，也探索海外云厂商的商用芯片供应，但博通仍是主导。替代芯片选择面临产品路线图跟随和验证的挑战，决策复杂。</w:t>
      </w:r>
    </w:p>
    <w:p>
      <w:r>
        <w:rPr>
          <w:rFonts w:ascii="等线(中文正文)" w:hAnsi="等线(中文正文)" w:cs="等线(中文正文)" w:eastAsia="等线(中文正文)"/>
          <w:b w:val="false"/>
          <w:i w:val="false"/>
          <w:sz w:val="20"/>
        </w:rPr>
        <w:t/>
      </w:r>
    </w:p>
    <w:p>
      <w:pPr>
        <w:pStyle w:val="ab"/>
        <w:numPr>
          <w:numId w:val="21"/>
        </w:numPr>
      </w:pPr>
      <w:r>
        <w:t>01:12:49 电子产品价格变动与成本控制策略</w:t>
      </w:r>
    </w:p>
    <w:p>
      <w:r>
        <w:rPr>
          <w:rFonts w:ascii="等线(中文正文)" w:hAnsi="等线(中文正文)" w:cs="等线(中文正文)" w:eastAsia="等线(中文正文)"/>
          <w:b w:val="false"/>
          <w:i w:val="false"/>
          <w:sz w:val="20"/>
        </w:rPr>
        <w:t>对话围绕电子产品价格变动展开，讨论了存储价格上涨对交换机、路由器等产品成本的影响及调价策略。强调了成本上涨需由厂商与用户共同承担的原则，同时提及云桌面毛利率下降主要受产品结构调整和上游存储涨价影响。</w:t>
      </w:r>
    </w:p>
    <w:p>
      <w:r>
        <w:rPr>
          <w:rFonts w:ascii="等线(中文正文)" w:hAnsi="等线(中文正文)" w:cs="等线(中文正文)" w:eastAsia="等线(中文正文)"/>
          <w:b w:val="false"/>
          <w:i w:val="false"/>
          <w:sz w:val="20"/>
        </w:rPr>
        <w:t/>
      </w:r>
    </w:p>
    <w:p>
      <w:pPr>
        <w:pStyle w:val="ab"/>
        <w:numPr>
          <w:numId w:val="22"/>
        </w:numPr>
      </w:pPr>
      <w:r>
        <w:t>01:16:15 AI驱动的数据通讯市场机会与下半年展望</w:t>
      </w:r>
    </w:p>
    <w:p>
      <w:r>
        <w:rPr>
          <w:rFonts w:ascii="等线(中文正文)" w:hAnsi="等线(中文正文)" w:cs="等线(中文正文)" w:eastAsia="等线(中文正文)"/>
          <w:b w:val="false"/>
          <w:i w:val="false"/>
          <w:sz w:val="20"/>
        </w:rPr>
        <w:t>会议总结了AI为数据通讯领域带来的市场机遇，强调下半年将聚焦行业重点，加大投入，同时优化管理效能，以期全年业绩表现优异。行业变化显著，新技术如超节点和NPO等正提升网络投入比例，对交换设备龙头构成增长良机。会议鼓励持续关注行业动态，并感谢各位领导的参与与分享。</w:t>
      </w:r>
    </w:p>
    <w:p>
      <w:r>
        <w:rPr>
          <w:rFonts w:ascii="等线(中文正文)" w:hAnsi="等线(中文正文)" w:cs="等线(中文正文)" w:eastAsia="等线(中文正文)"/>
          <w:b w:val="false"/>
          <w:i w:val="false"/>
          <w:sz w:val="20"/>
        </w:rPr>
        <w:t/>
      </w:r>
    </w:p>
    <w:p>
      <w:pPr>
        <w:pStyle w:val="a7"/>
      </w:pPr>
      <w:r>
        <w:t>发言总结</w:t>
      </w:r>
    </w:p>
    <w:p>
      <w:pPr>
        <w:pStyle w:val="ab"/>
        <w:numPr>
          <w:numId w:val="23"/>
        </w:numPr>
      </w:pPr>
      <w:r>
        <w:t>发言人1</w:t>
      </w:r>
    </w:p>
    <w:p>
      <w:r>
        <w:rPr>
          <w:rFonts w:ascii="等线(中文正文)" w:hAnsi="等线(中文正文)" w:cs="等线(中文正文)" w:eastAsia="等线(中文正文)"/>
          <w:b w:val="false"/>
          <w:i w:val="false"/>
          <w:sz w:val="20"/>
        </w:rPr>
        <w:t>他强调公司致力于全年取得优异业绩，以回馈投资者和券商研究机构，特别看好国内算力市场尤其是交换网络线的机遇，提到新技术如超节点、NPO及不同速率迭代将推动AI投入中网络占比上升。他看好瑞姐在这一赛道的增长潜力，并鼓励持续关注锐捷网络发展。他回顾了公司中期业绩，指出上半年财务增长显著，收入和净利润分别同比增长33%和50%，特别强调AI对数据中心网络带来的机遇及公司在重点行业和领域的战略投资，特别是在互联网数据中心业务方面实现了显著增长。尽管面临供应链紧张和市场竞争加剧等挑战，公司通过优化运营、加大研发投入和加快资金周转等措施，保持了业绩的稳健增长。对于未来，他强调公司将关注AI驱动的技术进步，强化市场和客户战略，通过提供端到端的解决方案来满足客户不断变化的需求，并表达了对海外市场的拓展计划，强调公司将在稳固国内市场份额的同时，加大对海外市场的投入，特别是在数据中心和园区网络等领域。最后，他表达了对公司未来发展的乐观态度，并感谢投资者的积极参与和支持。</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问：我们如何判断接下来数据中心的一个增长情况？</w:t>
      </w:r>
    </w:p>
    <w:p>
      <w:r>
        <w:rPr>
          <w:rFonts w:ascii="等线(中文正文)" w:hAnsi="等线(中文正文)" w:cs="等线(中文正文)" w:eastAsia="等线(中文正文)"/>
          <w:b w:val="false"/>
          <w:i w:val="false"/>
          <w:sz w:val="20"/>
        </w:rPr>
        <w:t>发言人1 答：接下来数据中心的增长机会将受到几个因素的影响。首先，国内互联网大厂的数据中心开发需求将持续增长；其次，新技术如800G、NPO、LPO和CPO等领域的布局和产品创新，将为数据中心带来新的发展动力。此外，随着技术迭代和市场需求的变化，数据中心作为算力基础设施建设的关键角色，将持续受益于行业规模化发展和技术升级所带来的机遇。</w:t>
      </w:r>
    </w:p>
    <w:p>
      <w:r>
        <w:rPr>
          <w:rFonts w:ascii="等线(中文正文)" w:hAnsi="等线(中文正文)" w:cs="等线(中文正文)" w:eastAsia="等线(中文正文)"/>
          <w:b w:val="false"/>
          <w:i w:val="false"/>
          <w:sz w:val="20"/>
        </w:rPr>
        <w:t/>
      </w:r>
    </w:p>
    <w:p>
      <w:pPr>
        <w:pStyle w:val="ab"/>
      </w:pPr>
      <w:r>
        <w:t>发言人1 问：在当前环境下，算力基础建设作为提供算力基石的供应商，面临什么样的现状和挑战？</w:t>
      </w:r>
    </w:p>
    <w:p>
      <w:r>
        <w:rPr>
          <w:rFonts w:ascii="等线(中文正文)" w:hAnsi="等线(中文正文)" w:cs="等线(中文正文)" w:eastAsia="等线(中文正文)"/>
          <w:b w:val="false"/>
          <w:i w:val="false"/>
          <w:sz w:val="20"/>
        </w:rPr>
        <w:t>发言人1 答：在当前环境下，随着算力落地速度加快、规模扩大，对网络连接的质量、速度和形式等方面的需求将带来新的挑战。传统网络设备厂商需提供从交换机到整体数据传输链路的设计、调度、负载均衡等全套解决方案，以应对高效互联的需求，这在以前的大模型训练阶段是不常考虑的，因此对网络架构服务能力和解决方案提出了更高要求。</w:t>
      </w:r>
    </w:p>
    <w:p>
      <w:r>
        <w:rPr>
          <w:rFonts w:ascii="等线(中文正文)" w:hAnsi="等线(中文正文)" w:cs="等线(中文正文)" w:eastAsia="等线(中文正文)"/>
          <w:b w:val="false"/>
          <w:i w:val="false"/>
          <w:sz w:val="20"/>
        </w:rPr>
        <w:t/>
      </w:r>
    </w:p>
    <w:p>
      <w:pPr>
        <w:pStyle w:val="ab"/>
      </w:pPr>
      <w:r>
        <w:t>发言人1 问：在当前趋势下，数据中心交换机的增速是否会有进一步加速？</w:t>
      </w:r>
    </w:p>
    <w:p>
      <w:r>
        <w:rPr>
          <w:rFonts w:ascii="等线(中文正文)" w:hAnsi="等线(中文正文)" w:cs="等线(中文正文)" w:eastAsia="等线(中文正文)"/>
          <w:b w:val="false"/>
          <w:i w:val="false"/>
          <w:sz w:val="20"/>
        </w:rPr>
        <w:t>发言人1 答：由于新的AI云厂商及算力应用对网络需求的增长，特别是在网络效率和运营成本降低方面的关注，使得数据中心交换机的需求量在未来几年将持续高速增长。尽管增速的具体数值不确定，但根据目前下游客户的需求情况判断，下半年至明年，数据中心交换机的增速可能仍会保持较高水平。</w:t>
      </w:r>
    </w:p>
    <w:p>
      <w:r>
        <w:rPr>
          <w:rFonts w:ascii="等线(中文正文)" w:hAnsi="等线(中文正文)" w:cs="等线(中文正文)" w:eastAsia="等线(中文正文)"/>
          <w:b w:val="false"/>
          <w:i w:val="false"/>
          <w:sz w:val="20"/>
        </w:rPr>
        <w:t/>
      </w:r>
    </w:p>
    <w:p>
      <w:pPr>
        <w:pStyle w:val="ab"/>
      </w:pPr>
      <w:r>
        <w:t>发言人1 问：目前公司对于交换芯片的供给储备情况如何？接下来的产品供给储备会有怎样的保障情况？</w:t>
      </w:r>
    </w:p>
    <w:p>
      <w:r>
        <w:rPr>
          <w:rFonts w:ascii="等线(中文正文)" w:hAnsi="等线(中文正文)" w:cs="等线(中文正文)" w:eastAsia="等线(中文正文)"/>
          <w:b w:val="false"/>
          <w:i w:val="false"/>
          <w:sz w:val="20"/>
        </w:rPr>
        <w:t>发言人1 答：面对当前芯片供应紧张的情况，公司作为战略供应商，已提前做好战略备货和材料储备准备。尽管短期内供货紧张情况无法得到彻底缓解，但通过与海外主要芯片供应商的良好合作关系以及供应链管理体系优化，目前并未对交付和客户端需求产生重大影响。对于存货储备构成和结构，公司在半年报中有详细披露，主要增长来自于原材料库存，已根据当前供应链形势做出相应布局，确保重点市场的持续供应。同时，公司也加强了与银行的合作，增加了授信额度，以保证在大规模增长背景下资金链的稳定性和原材料及时供应，确保生产的进度和业务的顺利进行。</w:t>
      </w:r>
    </w:p>
    <w:p>
      <w:r>
        <w:rPr>
          <w:rFonts w:ascii="等线(中文正文)" w:hAnsi="等线(中文正文)" w:cs="等线(中文正文)" w:eastAsia="等线(中文正文)"/>
          <w:b w:val="false"/>
          <w:i w:val="false"/>
          <w:sz w:val="20"/>
        </w:rPr>
        <w:t/>
      </w:r>
    </w:p>
    <w:p>
      <w:pPr>
        <w:pStyle w:val="ab"/>
      </w:pPr>
      <w:r>
        <w:t>发言人1 问：上半年在超级点收费方面，我们的进展和收入情况如何？是否有关于400G和800G占比的数据？下半年预计的发货情况和增长情况如何？</w:t>
      </w:r>
    </w:p>
    <w:p>
      <w:r>
        <w:rPr>
          <w:rFonts w:ascii="等线(中文正文)" w:hAnsi="等线(中文正文)" w:cs="等线(中文正文)" w:eastAsia="等线(中文正文)"/>
          <w:b w:val="false"/>
          <w:i w:val="false"/>
          <w:sz w:val="20"/>
        </w:rPr>
        <w:t>发言人1 答：上半年数据中心营收达到57亿。其中，400G产品线的营收为30亿，800G产品线接近19亿，这两部分中有小部分是针对超级点的需求。具体到这两个产品线在总收入中的占比，400G大约占10%左右，而800G则略高一些，两者加起来不到20%。相较于上一年，同比有显著增长，但也有部分调整。我们认为下半年乃至明年，这部分业务的渗透率可能会进一步提升。</w:t>
      </w:r>
    </w:p>
    <w:p>
      <w:r>
        <w:rPr>
          <w:rFonts w:ascii="等线(中文正文)" w:hAnsi="等线(中文正文)" w:cs="等线(中文正文)" w:eastAsia="等线(中文正文)"/>
          <w:b w:val="false"/>
          <w:i w:val="false"/>
          <w:sz w:val="20"/>
        </w:rPr>
        <w:t/>
      </w:r>
    </w:p>
    <w:p>
      <w:pPr>
        <w:pStyle w:val="ab"/>
      </w:pPr>
      <w:r>
        <w:t>发言人1 问：展示超级店整柜产品的考虑因素是什么？</w:t>
      </w:r>
    </w:p>
    <w:p>
      <w:r>
        <w:rPr>
          <w:rFonts w:ascii="等线(中文正文)" w:hAnsi="等线(中文正文)" w:cs="等线(中文正文)" w:eastAsia="等线(中文正文)"/>
          <w:b w:val="false"/>
          <w:i w:val="false"/>
          <w:sz w:val="20"/>
        </w:rPr>
        <w:t>发言人1 答：展示超级店整柜产品的原因主要有两方面：一是为了展示我们的研发实力，因为我们之前已经有过展出的经验，产品形态和合作伙伴来源更加丰富，现在能提供一个相对完整的超级点解决方案；二是出于业务层面的考虑，我们具备独立或以自有品牌批量生产超节点设备的能力，并且随着市场需求的变化，单纯提供网络节点设备可能无法充分抓住市场机会，我们不仅提供网络连接能力，还提供整体超节点解决方案的能力。</w:t>
      </w:r>
    </w:p>
    <w:p>
      <w:r>
        <w:rPr>
          <w:rFonts w:ascii="等线(中文正文)" w:hAnsi="等线(中文正文)" w:cs="等线(中文正文)" w:eastAsia="等线(中文正文)"/>
          <w:b w:val="false"/>
          <w:i w:val="false"/>
          <w:sz w:val="20"/>
        </w:rPr>
        <w:t/>
      </w:r>
    </w:p>
    <w:p>
      <w:pPr>
        <w:pStyle w:val="ab"/>
      </w:pPr>
      <w:r>
        <w:t>发言人1 问：数据中心目前及未来的收入规划中，来自大模型厂商直采的需求占比会有多大？是否有增长趋势？</w:t>
      </w:r>
    </w:p>
    <w:p>
      <w:r>
        <w:rPr>
          <w:rFonts w:ascii="等线(中文正文)" w:hAnsi="等线(中文正文)" w:cs="等线(中文正文)" w:eastAsia="等线(中文正文)"/>
          <w:b w:val="false"/>
          <w:i w:val="false"/>
          <w:sz w:val="20"/>
        </w:rPr>
        <w:t>发言人1 答：根据上半年的情况，大模型厂商的需求增长趋势还不明显，但这部分需求已经开始出现。目前数据中心90%的营收来自互联网厂商，另外10%来自算力租赁厂商和与大模型厂商合作的服务商。虽然占比不高，但我们相信未来随着市场发展，这将成为构成数据中心营收的重要组成部分。</w:t>
      </w:r>
    </w:p>
    <w:p>
      <w:r>
        <w:rPr>
          <w:rFonts w:ascii="等线(中文正文)" w:hAnsi="等线(中文正文)" w:cs="等线(中文正文)" w:eastAsia="等线(中文正文)"/>
          <w:b w:val="false"/>
          <w:i w:val="false"/>
          <w:sz w:val="20"/>
        </w:rPr>
        <w:t/>
      </w:r>
    </w:p>
    <w:p>
      <w:pPr>
        <w:pStyle w:val="ab"/>
      </w:pPr>
      <w:r>
        <w:t>发言人1 问：下半年及全年超越点业务的营收体量可能达到什么程度？</w:t>
      </w:r>
    </w:p>
    <w:p>
      <w:r>
        <w:rPr>
          <w:rFonts w:ascii="等线(中文正文)" w:hAnsi="等线(中文正文)" w:cs="等线(中文正文)" w:eastAsia="等线(中文正文)"/>
          <w:b w:val="false"/>
          <w:i w:val="false"/>
          <w:sz w:val="20"/>
        </w:rPr>
        <w:t>发言人1 答：超越点业务下半年可能会以租的形式销售为主，因为当前市场环境和客户需求决定的产品形态。明年我们会推出自己的产品，并根据客户情况和合作伙伴业务合作情况来灵活应对市场，而不强求特定销售方式。对于全年超越点业务的营收占比，我们暂时无法给出具体目标，但预计其产品形态将多样化，其中800G产品销量将会有进一步增长。</w:t>
      </w:r>
    </w:p>
    <w:p>
      <w:r>
        <w:rPr>
          <w:rFonts w:ascii="等线(中文正文)" w:hAnsi="等线(中文正文)" w:cs="等线(中文正文)" w:eastAsia="等线(中文正文)"/>
          <w:b w:val="false"/>
          <w:i w:val="false"/>
          <w:sz w:val="20"/>
        </w:rPr>
        <w:t/>
      </w:r>
    </w:p>
    <w:p>
      <w:pPr>
        <w:pStyle w:val="ab"/>
      </w:pPr>
      <w:r>
        <w:t>发言人1 问：全年数据中心整体需求增速能达到多少？能否看清明年大致需求增速？</w:t>
      </w:r>
    </w:p>
    <w:p>
      <w:r>
        <w:rPr>
          <w:rFonts w:ascii="等线(中文正文)" w:hAnsi="等线(中文正文)" w:cs="等线(中文正文)" w:eastAsia="等线(中文正文)"/>
          <w:b w:val="false"/>
          <w:i w:val="false"/>
          <w:sz w:val="20"/>
        </w:rPr>
        <w:t>发言人1 答：今年数据中心整体需求增速基本可参考云厂商招标情况，初步判断至少为30%以上，乐观情况下可达50%。明年的需求增速将根据下半年Q3之后的大厂招标情况进一步确认，目前看来年初云厂商的预测仍符合当前趋势。对于2027年互联网行业大厂的招标规模，预测接近2万亿，其中网络设备作为重要组成部分，增速至少能达到50%。</w:t>
      </w:r>
    </w:p>
    <w:p>
      <w:r>
        <w:rPr>
          <w:rFonts w:ascii="等线(中文正文)" w:hAnsi="等线(中文正文)" w:cs="等线(中文正文)" w:eastAsia="等线(中文正文)"/>
          <w:b w:val="false"/>
          <w:i w:val="false"/>
          <w:sz w:val="20"/>
        </w:rPr>
        <w:t/>
      </w:r>
    </w:p>
    <w:p>
      <w:pPr>
        <w:pStyle w:val="ab"/>
      </w:pPr>
      <w:r>
        <w:t>发言人1 问：首先，对于退的方式，它与白盒方式有何关联？用户的整体毛利区间是否与弹劾交换品的毛利率相似？</w:t>
      </w:r>
    </w:p>
    <w:p>
      <w:r>
        <w:rPr>
          <w:rFonts w:ascii="等线(中文正文)" w:hAnsi="等线(中文正文)" w:cs="等线(中文正文)" w:eastAsia="等线(中文正文)"/>
          <w:b w:val="false"/>
          <w:i w:val="false"/>
          <w:sz w:val="20"/>
        </w:rPr>
        <w:t>发言人1 答：退的方式实际上属于白盒方式的一种。作为用户，整体毛利区间与弹劾交换品类的毛利率大致相同，都有一个上限区间，并且行业内去年的情况没有明显差异，毛利率不会出现大幅变动。</w:t>
      </w:r>
    </w:p>
    <w:p>
      <w:r>
        <w:rPr>
          <w:rFonts w:ascii="等线(中文正文)" w:hAnsi="等线(中文正文)" w:cs="等线(中文正文)" w:eastAsia="等线(中文正文)"/>
          <w:b w:val="false"/>
          <w:i w:val="false"/>
          <w:sz w:val="20"/>
        </w:rPr>
        <w:t/>
      </w:r>
    </w:p>
    <w:p>
      <w:pPr>
        <w:pStyle w:val="ab"/>
      </w:pPr>
      <w:r>
        <w:t>发言人1 问：今年800G端口交换机占比是否会提高？与去年更多的400G交换机相比，两者毛利率是否存在显著差异？</w:t>
      </w:r>
    </w:p>
    <w:p>
      <w:r>
        <w:rPr>
          <w:rFonts w:ascii="等线(中文正文)" w:hAnsi="等线(中文正文)" w:cs="等线(中文正文)" w:eastAsia="等线(中文正文)"/>
          <w:b w:val="false"/>
          <w:i w:val="false"/>
          <w:sz w:val="20"/>
        </w:rPr>
        <w:t>发言人1 答：今年800G交换机占比确实可能提高，而且800G和400G之间的差异并不大。目前上游核心芯片基本使用同一规格产品，材料成本差别不大，因此即使800G与400G产品不同，其毛利水平也差别不大。</w:t>
      </w:r>
    </w:p>
    <w:p>
      <w:r>
        <w:rPr>
          <w:rFonts w:ascii="等线(中文正文)" w:hAnsi="等线(中文正文)" w:cs="等线(中文正文)" w:eastAsia="等线(中文正文)"/>
          <w:b w:val="false"/>
          <w:i w:val="false"/>
          <w:sz w:val="20"/>
        </w:rPr>
        <w:t/>
      </w:r>
    </w:p>
    <w:p>
      <w:pPr>
        <w:pStyle w:val="ab"/>
      </w:pPr>
      <w:r>
        <w:t>发言人1 问：预计何时开始大量使用36款交换芯片制造交换机？</w:t>
      </w:r>
    </w:p>
    <w:p>
      <w:r>
        <w:rPr>
          <w:rFonts w:ascii="等线(中文正文)" w:hAnsi="等线(中文正文)" w:cs="等线(中文正文)" w:eastAsia="等线(中文正文)"/>
          <w:b w:val="false"/>
          <w:i w:val="false"/>
          <w:sz w:val="20"/>
        </w:rPr>
        <w:t>发言人1 答：预计今年下半年会有少量供货，但真正大规模应用可能要到2027年。这是因为今年数据中心架构中，400G和800G搭配较多，而TH6在国内的推进速度相对较慢，预计明年上半年开始在某大厂进入批量部署阶段。</w:t>
      </w:r>
    </w:p>
    <w:p>
      <w:r>
        <w:rPr>
          <w:rFonts w:ascii="等线(中文正文)" w:hAnsi="等线(中文正文)" w:cs="等线(中文正文)" w:eastAsia="等线(中文正文)"/>
          <w:b w:val="false"/>
          <w:i w:val="false"/>
          <w:sz w:val="20"/>
        </w:rPr>
        <w:t/>
      </w:r>
    </w:p>
    <w:p>
      <w:pPr>
        <w:pStyle w:val="ab"/>
      </w:pPr>
      <w:r>
        <w:t>发言人1 问：在超节点中，目前采用的交换芯片是否以海外为主？未来对于上游物料国产化的考量和预期是怎样的？</w:t>
      </w:r>
    </w:p>
    <w:p>
      <w:r>
        <w:rPr>
          <w:rFonts w:ascii="等线(中文正文)" w:hAnsi="等线(中文正文)" w:cs="等线(中文正文)" w:eastAsia="等线(中文正文)"/>
          <w:b w:val="false"/>
          <w:i w:val="false"/>
          <w:sz w:val="20"/>
        </w:rPr>
        <w:t>发言人1 答：目前国内超节点主要使用海外成熟的技术，如PH5 800G端口数据芯片。虽然国内在芯片代际上与国际存在一定差距，但对标PP5的芯片今年有望推出样品。随着国内同规格产品的成熟，国产芯片也会逐步应用到超级联的产品上，不过华为等企业在该领域已取得先发优势。</w:t>
      </w:r>
    </w:p>
    <w:p>
      <w:r>
        <w:rPr>
          <w:rFonts w:ascii="等线(中文正文)" w:hAnsi="等线(中文正文)" w:cs="等线(中文正文)" w:eastAsia="等线(中文正文)"/>
          <w:b w:val="false"/>
          <w:i w:val="false"/>
          <w:sz w:val="20"/>
        </w:rPr>
        <w:t/>
      </w:r>
    </w:p>
    <w:p>
      <w:pPr>
        <w:pStyle w:val="ab"/>
      </w:pPr>
      <w:r>
        <w:t>发言人1 问：未来超级节点方案中，计算节点和网络节点是否会分开招标，还是更倾向于打包交给ODM厂商生产？</w:t>
      </w:r>
    </w:p>
    <w:p>
      <w:r>
        <w:rPr>
          <w:rFonts w:ascii="等线(中文正文)" w:hAnsi="等线(中文正文)" w:cs="等线(中文正文)" w:eastAsia="等线(中文正文)"/>
          <w:b w:val="false"/>
          <w:i w:val="false"/>
          <w:sz w:val="20"/>
        </w:rPr>
        <w:t>发言人1 答：目前市场上的超级节点标准不统一，存在多个主流技术路线，且用户需求各异，包括云大厂和运营商。最终是市场驱动用户选择何种方式推向市场，而不是由单一厂商决定。因此，分开招标和打包交给ODM厂商都有可能发生，公司会根据市场情况提供整机柜或可分离方案，满足不同需求。</w:t>
      </w:r>
    </w:p>
    <w:p>
      <w:r>
        <w:rPr>
          <w:rFonts w:ascii="等线(中文正文)" w:hAnsi="等线(中文正文)" w:cs="等线(中文正文)" w:eastAsia="等线(中文正文)"/>
          <w:b w:val="false"/>
          <w:i w:val="false"/>
          <w:sz w:val="20"/>
        </w:rPr>
        <w:t/>
      </w:r>
    </w:p>
    <w:p>
      <w:pPr>
        <w:pStyle w:val="ab"/>
      </w:pPr>
      <w:r>
        <w:t>发言人1 问：净利率提升明显的原因是什么？以及对于未来几个季度和明年的净利率走势如何看待？</w:t>
      </w:r>
    </w:p>
    <w:p>
      <w:r>
        <w:rPr>
          <w:rFonts w:ascii="等线(中文正文)" w:hAnsi="等线(中文正文)" w:cs="等线(中文正文)" w:eastAsia="等线(中文正文)"/>
          <w:b w:val="false"/>
          <w:i w:val="false"/>
          <w:sz w:val="20"/>
        </w:rPr>
        <w:t>发言人1 答：净利率提升主要得益于费用管控成效显著，销售费用率和管理费用率分别下降约两个点和一个多点。尽管毛利率下降，但由于收入增速高于销售费用增速，导致净利润率在上半年增长了一个多点。全年来看，净利润率可能会有所波动，但保持在一个合理范围（如4到6个点之间）。销售模式变化会影响毛利水平进而传导到净利润上，公司管理层将通过内部管控措施来对冲销售模式变化带来的影响。</w:t>
      </w:r>
    </w:p>
    <w:p>
      <w:r>
        <w:rPr>
          <w:rFonts w:ascii="等线(中文正文)" w:hAnsi="等线(中文正文)" w:cs="等线(中文正文)" w:eastAsia="等线(中文正文)"/>
          <w:b w:val="false"/>
          <w:i w:val="false"/>
          <w:sz w:val="20"/>
        </w:rPr>
        <w:t/>
      </w:r>
    </w:p>
    <w:p>
      <w:pPr>
        <w:pStyle w:val="ab"/>
      </w:pPr>
      <w:r>
        <w:t>发言人1 问：如何看待明年数据中心交换机营收增速情况，是否会显著提升？</w:t>
      </w:r>
    </w:p>
    <w:p>
      <w:r>
        <w:rPr>
          <w:rFonts w:ascii="等线(中文正文)" w:hAnsi="等线(中文正文)" w:cs="等线(中文正文)" w:eastAsia="等线(中文正文)"/>
          <w:b w:val="false"/>
          <w:i w:val="false"/>
          <w:sz w:val="20"/>
        </w:rPr>
        <w:t>发言人1 答：腾讯等互联网厂商加大AI投入及生态建设，预示着类似公司在未来对数据中心高速算力网络设备的需求增加，尤其是对低时延、高带宽、安全性、灵活性和能耗管理等方面有更高要求。因此，尽管存在销售模式变化带来的挑战，但受益于云厂商对未来网络设备的巨大需求，公司对明年的数据中心交换机营收增速持乐观态度。</w:t>
      </w:r>
    </w:p>
    <w:p>
      <w:r>
        <w:rPr>
          <w:rFonts w:ascii="等线(中文正文)" w:hAnsi="等线(中文正文)" w:cs="等线(中文正文)" w:eastAsia="等线(中文正文)"/>
          <w:b w:val="false"/>
          <w:i w:val="false"/>
          <w:sz w:val="20"/>
        </w:rPr>
        <w:t/>
      </w:r>
    </w:p>
    <w:p>
      <w:pPr>
        <w:pStyle w:val="ab"/>
      </w:pPr>
      <w:r>
        <w:t>发言人1 问：目前智能工厂三期的建设情况如何？后续如果客户需求增长，我们的产能是否能满足需求，是否需要购置更多土地？</w:t>
      </w:r>
    </w:p>
    <w:p>
      <w:r>
        <w:rPr>
          <w:rFonts w:ascii="等线(中文正文)" w:hAnsi="等线(中文正文)" w:cs="等线(中文正文)" w:eastAsia="等线(中文正文)"/>
          <w:b w:val="false"/>
          <w:i w:val="false"/>
          <w:sz w:val="20"/>
        </w:rPr>
        <w:t>发言人1 答：目前，我们的智能工厂三期在福州金汤山的产线已经扩充了两次，现有的产线位置已经饱和。对于未来需求增长可能带来的产能问题，我们已考虑多种解决方案，包括租赁和合建等方式，并且政府会提供一些预先建好的厂房供企业使用。因此，即使在土地资源方面，我们也有充足的硬条件供给来应对产能需求的增加。</w:t>
      </w:r>
    </w:p>
    <w:p>
      <w:r>
        <w:rPr>
          <w:rFonts w:ascii="等线(中文正文)" w:hAnsi="等线(中文正文)" w:cs="等线(中文正文)" w:eastAsia="等线(中文正文)"/>
          <w:b w:val="false"/>
          <w:i w:val="false"/>
          <w:sz w:val="20"/>
        </w:rPr>
        <w:t/>
      </w:r>
    </w:p>
    <w:p>
      <w:pPr>
        <w:pStyle w:val="ab"/>
      </w:pPr>
      <w:r>
        <w:t>发言人1 问：明年高速率数据中心交换机是否会以自建产线为主，还是会采用外包代工的方式？</w:t>
      </w:r>
    </w:p>
    <w:p>
      <w:r>
        <w:rPr>
          <w:rFonts w:ascii="等线(中文正文)" w:hAnsi="等线(中文正文)" w:cs="等线(中文正文)" w:eastAsia="等线(中文正文)"/>
          <w:b w:val="false"/>
          <w:i w:val="false"/>
          <w:sz w:val="20"/>
        </w:rPr>
        <w:t>发言人1 答：明年高速率数据中心交换机仍将以自建产线为主，而不是选择外包代工。目前中低速产品可能是在外协合作伙伴那里代工，但高速率产品都是通过自有自动化工厂生产。</w:t>
      </w:r>
    </w:p>
    <w:p>
      <w:r>
        <w:rPr>
          <w:rFonts w:ascii="等线(中文正文)" w:hAnsi="等线(中文正文)" w:cs="等线(中文正文)" w:eastAsia="等线(中文正文)"/>
          <w:b w:val="false"/>
          <w:i w:val="false"/>
          <w:sz w:val="20"/>
        </w:rPr>
        <w:t/>
      </w:r>
    </w:p>
    <w:p>
      <w:pPr>
        <w:pStyle w:val="ab"/>
      </w:pPr>
      <w:r>
        <w:t>发言人1 问：400亿或800亿这种12K价格的产品，在价值量上相比普通交换机大概高多少？</w:t>
      </w:r>
    </w:p>
    <w:p>
      <w:r>
        <w:rPr>
          <w:rFonts w:ascii="等线(中文正文)" w:hAnsi="等线(中文正文)" w:cs="等线(中文正文)" w:eastAsia="等线(中文正文)"/>
          <w:b w:val="false"/>
          <w:i w:val="false"/>
          <w:sz w:val="20"/>
        </w:rPr>
        <w:t>发言人1 答：这种高规格交换机的价值量相较于普通交换机大概高出30%左右，甚至更高。虽然没有外壳，但其要求比传统白盒产品的结构复杂一些，整体价格提升幅度在这个范围内。</w:t>
      </w:r>
    </w:p>
    <w:p>
      <w:r>
        <w:rPr>
          <w:rFonts w:ascii="等线(中文正文)" w:hAnsi="等线(中文正文)" w:cs="等线(中文正文)" w:eastAsia="等线(中文正文)"/>
          <w:b w:val="false"/>
          <w:i w:val="false"/>
          <w:sz w:val="20"/>
        </w:rPr>
        <w:t/>
      </w:r>
    </w:p>
    <w:p>
      <w:pPr>
        <w:pStyle w:val="ab"/>
      </w:pPr>
      <w:r>
        <w:t>发言人1 问：对于博通交换芯片供给紧张的问题，国内厂商是否会考虑使用英伟达或其他海外厂商的同类产品？</w:t>
      </w:r>
    </w:p>
    <w:p>
      <w:r>
        <w:rPr>
          <w:rFonts w:ascii="等线(中文正文)" w:hAnsi="等线(中文正文)" w:cs="等线(中文正文)" w:eastAsia="等线(中文正文)"/>
          <w:b w:val="false"/>
          <w:i w:val="false"/>
          <w:sz w:val="20"/>
        </w:rPr>
        <w:t>发言人1 答：国内厂商确实有考虑使用英伟达和其他海外厂商提供的以太网交换芯片，但目前尚未形成单一的技术路线。厂商会在国产化需求和技术验证的基础上，根据产品路线图进行选择，不会轻易替换现有的主流供应商。</w:t>
      </w:r>
    </w:p>
    <w:p>
      <w:r>
        <w:rPr>
          <w:rFonts w:ascii="等线(中文正文)" w:hAnsi="等线(中文正文)" w:cs="等线(中文正文)" w:eastAsia="等线(中文正文)"/>
          <w:b w:val="false"/>
          <w:i w:val="false"/>
          <w:sz w:val="20"/>
        </w:rPr>
        <w:t/>
      </w:r>
    </w:p>
    <w:p>
      <w:pPr>
        <w:pStyle w:val="ab"/>
      </w:pPr>
      <w:r>
        <w:t>发言人1 问：存储价格上涨背景下，公司的产品调价情况以及存储在产品BOM成本中的占比是多少？</w:t>
      </w:r>
    </w:p>
    <w:p>
      <w:r>
        <w:rPr>
          <w:rFonts w:ascii="等线(中文正文)" w:hAnsi="等线(中文正文)" w:cs="等线(中文正文)" w:eastAsia="等线(中文正文)"/>
          <w:b w:val="false"/>
          <w:i w:val="false"/>
          <w:sz w:val="20"/>
        </w:rPr>
        <w:t>发言人1 答：面对存储价格大幅上涨，公司从去年开始就对园区级产品进行了调价通知，并会根据上游原材料价格变动传递信息给下游客户。公司在调价时坚持不完全转嫁给用户的原则，力求在消化成本的同时，与客户共同承担一部分成本。今年已发过两次调价通知。</w:t>
      </w:r>
    </w:p>
    <w:p>
      <w:r>
        <w:rPr>
          <w:rFonts w:ascii="等线(中文正文)" w:hAnsi="等线(中文正文)" w:cs="等线(中文正文)" w:eastAsia="等线(中文正文)"/>
          <w:b w:val="false"/>
          <w:i w:val="false"/>
          <w:sz w:val="20"/>
        </w:rPr>
        <w:t/>
      </w:r>
    </w:p>
    <w:p>
      <w:pPr>
        <w:pStyle w:val="ab"/>
      </w:pPr>
      <w:r>
        <w:t>发言人1 问：上半年云桌面产品的毛利率下降主要由哪些因素导致？</w:t>
      </w:r>
    </w:p>
    <w:p>
      <w:r>
        <w:rPr>
          <w:rFonts w:ascii="等线(中文正文)" w:hAnsi="等线(中文正文)" w:cs="等线(中文正文)" w:eastAsia="等线(中文正文)"/>
          <w:b w:val="false"/>
          <w:i w:val="false"/>
          <w:sz w:val="20"/>
        </w:rPr>
        <w:t>发言人1 答：云桌面产品毛利率下降主要是由于产品结构调整和存储价格上涨的影响，尤其是存储涨价对云桌面产品研究面积的影响非常大。目前公司正在通过优化产品方案、解决方案以及核心芯片选择来应对这一问题。</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2026-08-16T01:55:35Z</dcterms:created>
  <dc:creator>Apache POI</dc:creator>
</cp:coreProperties>
</file>