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百济神州深度 260813_导读</w:t>
      </w:r>
    </w:p>
    <w:p>
      <w:pPr>
        <w:pStyle w:val="a0"/>
        <w:jc w:val="center"/>
      </w:pPr>
      <w:r>
        <w:t>2026年08月14日 08:08</w:t>
      </w:r>
    </w:p>
    <w:p>
      <w:pPr>
        <w:pStyle w:val="a7"/>
      </w:pPr>
      <w:r>
        <w:t>关键词</w:t>
      </w:r>
    </w:p>
    <w:p>
      <w:r>
        <w:rPr>
          <w:rFonts w:ascii="等线(中文正文)" w:hAnsi="等线(中文正文)" w:cs="等线(中文正文)" w:eastAsia="等线(中文正文)"/>
          <w:b w:val="false"/>
          <w:i w:val="false"/>
          <w:sz w:val="20"/>
        </w:rPr>
        <w:t xml:space="preserve">百济神州 创新药 全球化 商业化 研发管线 CDK4 BTK抑制剂 BCL two 实体瘤 海外市场 市占率 临床研发 血液瘤 ADC 双抗 固定周期治疗 阿卡丁 伊布替尼 美国市场 经济负担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百济神州，作为创新药领域的领军企业，展现出全球研发、生产与销售的卓越能力，2025年全球销售额预计达53亿美元，其中70%源自海外市场，彰显其强大的海外拓展实力。公司对财务前景持乐观态度，预示着未来业绩将持续攀升。其丰富的产品管线，特别是在CDK4抑制剂和BCL2抑制剂等领域的临床进展，预示着有望在血液瘤治疗领域巩固领先地位，并通过实体瘤治疗开辟新的增长点。尽管面临市场竞争和政策变化等挑战，但凭借其强大的研发能力和商业化潜力，公司维持“买入”投资评级，显示出投资者对其长期发展的积极预期。</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百济神州：创新药龙头的全球布局与财务增长</w:t>
      </w:r>
    </w:p>
    <w:p>
      <w:r>
        <w:rPr>
          <w:rFonts w:ascii="等线(中文正文)" w:hAnsi="等线(中文正文)" w:cs="等线(中文正文)" w:eastAsia="等线(中文正文)"/>
          <w:b w:val="false"/>
          <w:i w:val="false"/>
          <w:sz w:val="20"/>
        </w:rPr>
        <w:t>百济神州作为中国药企的创新药龙头，拥有全球研发、生产和销售一体化能力，其2025年全球销售额达53亿美元，同比增速40%，其中70%来自海外市场。核心产品在血液瘤治疗领域展现同类最优潜力，CDK4等实体瘤管线密集催化，2026年财务指引显示收入和利润增速快，产品组合看好，新药销售有望持续攀升，无下滑风险。</w:t>
      </w:r>
    </w:p>
    <w:p>
      <w:r>
        <w:rPr>
          <w:rFonts w:ascii="等线(中文正文)" w:hAnsi="等线(中文正文)" w:cs="等线(中文正文)" w:eastAsia="等线(中文正文)"/>
          <w:b w:val="false"/>
          <w:i w:val="false"/>
          <w:sz w:val="20"/>
        </w:rPr>
        <w:t/>
      </w:r>
    </w:p>
    <w:p>
      <w:pPr>
        <w:pStyle w:val="ab"/>
        <w:numPr>
          <w:numId w:val="2"/>
        </w:numPr>
      </w:pPr>
      <w:r>
        <w:t>01:49 百济市场分析：竞品影响、美国药品价格与实体瘤管线</w:t>
      </w:r>
    </w:p>
    <w:p>
      <w:r>
        <w:rPr>
          <w:rFonts w:ascii="等线(中文正文)" w:hAnsi="等线(中文正文)" w:cs="等线(中文正文)" w:eastAsia="等线(中文正文)"/>
          <w:b w:val="false"/>
          <w:i w:val="false"/>
          <w:sz w:val="20"/>
        </w:rPr>
        <w:t>市场分析指出，尽管海外竞品在欧美获批，但预计对百济市占率影响有限，尤其随着自身filtering疗法的推出，产品组合优势将扩大，提高市占率并延长BGK生命周期。关于美国药品价格问题，德信地产化不影响贸易关税，且百济已获ARA谈判降价豁免，美国市场环境变化对经济影响微弱。实体瘤管线方面，百济储备丰富，包括CPC、GPC438BB霜亢、BC4ABC等产品，展现初步潜力，有望带来第二增长曲线。</w:t>
      </w:r>
    </w:p>
    <w:p>
      <w:r>
        <w:rPr>
          <w:rFonts w:ascii="等线(中文正文)" w:hAnsi="等线(中文正文)" w:cs="等线(中文正文)" w:eastAsia="等线(中文正文)"/>
          <w:b w:val="false"/>
          <w:i w:val="false"/>
          <w:sz w:val="20"/>
        </w:rPr>
        <w:t/>
      </w:r>
    </w:p>
    <w:p>
      <w:pPr>
        <w:pStyle w:val="ab"/>
        <w:numPr>
          <w:numId w:val="3"/>
        </w:numPr>
      </w:pPr>
      <w:r>
        <w:t>02:57 百金公司全球化战略与高增长潜力分析</w:t>
      </w:r>
    </w:p>
    <w:p>
      <w:r>
        <w:rPr>
          <w:rFonts w:ascii="等线(中文正文)" w:hAnsi="等线(中文正文)" w:cs="等线(中文正文)" w:eastAsia="等线(中文正文)"/>
          <w:b w:val="false"/>
          <w:i w:val="false"/>
          <w:sz w:val="20"/>
        </w:rPr>
        <w:t>对话概述了一家名为百金的生物医药公司，成立于10年前，专注于肿瘤治疗领域，拥有40余款临床和商业化产品，包括血液瘤和实体瘤的治疗。公司采取全球化销售布局，核心产品在70多个国家和地区上市，海外收入占比持续增长，2025年首次实现扭亏为盈，净利润达4.6亿美元。公司研发实力强大，产品线涵盖小分子、蛋白降解剂、ADC和双抗等，未来有望通过新分子实体实现第二增长曲线。下半年至明年，公司将迎来多个关键产品催化剂，包括ADC、PMP化抑制剂和双抗等，展现出强劲的增长潜力和投资价值。</w:t>
      </w:r>
    </w:p>
    <w:p>
      <w:r>
        <w:rPr>
          <w:rFonts w:ascii="等线(中文正文)" w:hAnsi="等线(中文正文)" w:cs="等线(中文正文)" w:eastAsia="等线(中文正文)"/>
          <w:b w:val="false"/>
          <w:i w:val="false"/>
          <w:sz w:val="20"/>
        </w:rPr>
        <w:t/>
      </w:r>
    </w:p>
    <w:p>
      <w:pPr>
        <w:pStyle w:val="ab"/>
        <w:numPr>
          <w:numId w:val="4"/>
        </w:numPr>
      </w:pPr>
      <w:r>
        <w:t>05:23 百济神州伊布替尼在慢淋市场表现优异</w:t>
      </w:r>
    </w:p>
    <w:p>
      <w:r>
        <w:rPr>
          <w:rFonts w:ascii="等线(中文正文)" w:hAnsi="等线(中文正文)" w:cs="等线(中文正文)" w:eastAsia="等线(中文正文)"/>
          <w:b w:val="false"/>
          <w:i w:val="false"/>
          <w:sz w:val="20"/>
        </w:rPr>
        <w:t>对话讨论了血液瘤市场，特别是慢淋治疗领域，伊布替尼作为BTK抑制剂的领军产品，凭借其在疗效和安全性上的优势，自获批以来市场份额持续攀升，2024年上半年已占据全球市场首位。其销售业绩超出预期，尤其是在美国市场，同比增长31%，全球销售额达到12.5亿美元。未来，接续产品预制剂有望进一步巩固其市场地位。</w:t>
      </w:r>
    </w:p>
    <w:p>
      <w:r>
        <w:rPr>
          <w:rFonts w:ascii="等线(中文正文)" w:hAnsi="等线(中文正文)" w:cs="等线(中文正文)" w:eastAsia="等线(中文正文)"/>
          <w:b w:val="false"/>
          <w:i w:val="false"/>
          <w:sz w:val="20"/>
        </w:rPr>
        <w:t/>
      </w:r>
    </w:p>
    <w:p>
      <w:pPr>
        <w:pStyle w:val="ab"/>
        <w:numPr>
          <w:numId w:val="5"/>
        </w:numPr>
      </w:pPr>
      <w:r>
        <w:t>08:56 BCL-2抑制剂在血液肿瘤治疗中的潜力与挑战</w:t>
      </w:r>
    </w:p>
    <w:p>
      <w:r>
        <w:rPr>
          <w:rFonts w:ascii="等线(中文正文)" w:hAnsi="等线(中文正文)" w:cs="等线(中文正文)" w:eastAsia="等线(中文正文)"/>
          <w:b w:val="false"/>
          <w:i w:val="false"/>
          <w:sz w:val="20"/>
        </w:rPr>
        <w:t>讨论了BCL-2抑制剂作为固定周期治疗方案在血液恶性肿瘤，尤其是曼尼治疗中的应用潜力，包括其通过凋亡通路作用机制，以及与BTK抑制剂联合使用提升治疗深度和治愈可能性的优势。同时指出了全球首款产品美奈克拉因高毒性导致的临床使用限制，包括严重不良反应、剂量调整和持续监测需求，影响了患者依从性和便利性。尽管存在挑战，BCL-2抑制剂仍展现出改善治疗模式、减轻经济负担及感染风险的潜力。</w:t>
      </w:r>
    </w:p>
    <w:p>
      <w:r>
        <w:rPr>
          <w:rFonts w:ascii="等线(中文正文)" w:hAnsi="等线(中文正文)" w:cs="等线(中文正文)" w:eastAsia="等线(中文正文)"/>
          <w:b w:val="false"/>
          <w:i w:val="false"/>
          <w:sz w:val="20"/>
        </w:rPr>
        <w:t/>
      </w:r>
    </w:p>
    <w:p>
      <w:pPr>
        <w:pStyle w:val="ab"/>
        <w:numPr>
          <w:numId w:val="6"/>
        </w:numPr>
      </w:pPr>
      <w:r>
        <w:t>10:18 百济神州三款血液瘤新药全面覆盖治疗周期</w:t>
      </w:r>
    </w:p>
    <w:p>
      <w:r>
        <w:rPr>
          <w:rFonts w:ascii="等线(中文正文)" w:hAnsi="等线(中文正文)" w:cs="等线(中文正文)" w:eastAsia="等线(中文正文)"/>
          <w:b w:val="false"/>
          <w:i w:val="false"/>
          <w:sz w:val="20"/>
        </w:rPr>
        <w:t>百济神州的三款血液瘤产品通过持续治疗与固定周期疗法，以及针对复发难治患者的降解剂技术，展现出强大的市场潜力。产品覆盖从一线到后线，从初治到难治，采用全面的治疗策略，有望改写一线治疗标准，成为新一代大单品。公司通过三期临床试验展现了对产品信心，未来有望在血液瘤治疗领域稳固领导地位。</w:t>
      </w:r>
    </w:p>
    <w:p>
      <w:r>
        <w:rPr>
          <w:rFonts w:ascii="等线(中文正文)" w:hAnsi="等线(中文正文)" w:cs="等线(中文正文)" w:eastAsia="等线(中文正文)"/>
          <w:b w:val="false"/>
          <w:i w:val="false"/>
          <w:sz w:val="20"/>
        </w:rPr>
        <w:t/>
      </w:r>
    </w:p>
    <w:p>
      <w:pPr>
        <w:pStyle w:val="ab"/>
        <w:numPr>
          <w:numId w:val="7"/>
        </w:numPr>
      </w:pPr>
      <w:r>
        <w:t>14:40 百济神州产品管线与BCL-2抑制剂市场前景分析</w:t>
      </w:r>
    </w:p>
    <w:p>
      <w:r>
        <w:rPr>
          <w:rFonts w:ascii="等线(中文正文)" w:hAnsi="等线(中文正文)" w:cs="等线(中文正文)" w:eastAsia="等线(中文正文)"/>
          <w:b w:val="false"/>
          <w:i w:val="false"/>
          <w:sz w:val="20"/>
        </w:rPr>
        <w:t>对话围绕百济神州在实体瘤领域的多款新分子产品及其市场前景展开，重点讨论了BCL-2抑制剂在固定周期疗法中的市场地位和未来趋势。强调了持续治疗与固定周期疗法的费用对比，指出固定周期疗法虽可降低医保支出，但牺牲了患者PFS，故持续治疗仍是长生症患者首选。同时，分析了BTK抑制剂联合BCL-2抑制剂在固定周期治疗中的潜在市场份额扩大，以及泽布替尼在疗效上的优势，预示其在该细分市场中的竞争力。</w:t>
      </w:r>
    </w:p>
    <w:p>
      <w:r>
        <w:rPr>
          <w:rFonts w:ascii="等线(中文正文)" w:hAnsi="等线(中文正文)" w:cs="等线(中文正文)" w:eastAsia="等线(中文正文)"/>
          <w:b w:val="false"/>
          <w:i w:val="false"/>
          <w:sz w:val="20"/>
        </w:rPr>
        <w:t/>
      </w:r>
    </w:p>
    <w:p>
      <w:pPr>
        <w:pStyle w:val="ab"/>
        <w:numPr>
          <w:numId w:val="8"/>
        </w:numPr>
      </w:pPr>
      <w:r>
        <w:t>18:22 百济泽布替尼在美国市场环境下的稳健表现</w:t>
      </w:r>
    </w:p>
    <w:p>
      <w:r>
        <w:rPr>
          <w:rFonts w:ascii="等线(中文正文)" w:hAnsi="等线(中文正文)" w:cs="等线(中文正文)" w:eastAsia="等线(中文正文)"/>
          <w:b w:val="false"/>
          <w:i w:val="false"/>
          <w:sz w:val="20"/>
        </w:rPr>
        <w:t>讨论了中美贸易环境变化对百济泽布替尼在美国市场的影响，指出泽布替尼不受贸易关税影响，具备谈判豁免资格，且受医保支付改革影响较小，未来价格稳定，无重大政策风险。</w:t>
      </w:r>
    </w:p>
    <w:p>
      <w:r>
        <w:rPr>
          <w:rFonts w:ascii="等线(中文正文)" w:hAnsi="等线(中文正文)" w:cs="等线(中文正文)" w:eastAsia="等线(中文正文)"/>
          <w:b w:val="false"/>
          <w:i w:val="false"/>
          <w:sz w:val="20"/>
        </w:rPr>
        <w:t/>
      </w:r>
    </w:p>
    <w:p>
      <w:pPr>
        <w:pStyle w:val="ab"/>
        <w:numPr>
          <w:numId w:val="9"/>
        </w:numPr>
      </w:pPr>
      <w:r>
        <w:t>20:59 百基实体管线产品竞争力分析</w:t>
      </w:r>
    </w:p>
    <w:p>
      <w:r>
        <w:rPr>
          <w:rFonts w:ascii="等线(中文正文)" w:hAnsi="等线(中文正文)" w:cs="等线(中文正文)" w:eastAsia="等线(中文正文)"/>
          <w:b w:val="false"/>
          <w:i w:val="false"/>
          <w:sz w:val="20"/>
        </w:rPr>
        <w:t>对话深入探讨了百基实体管线产品的市场竞争力，特别是其CK4抑制剂在乳腺癌治疗领域的显著疗效与安全性优势，以及BT4ABC在妇科手术后卵巢癌维持治疗的优异表现。CK4抑制剂展现出了超越传统药物的疗效，尤其在减少血液毒性方面有革命性突破，同时通过食物同服大幅降低了胃肠毒性，支持长期用药。BT4ABC在目标剂量下达到高CRRCOR和DCR，安全性优于同类产品，计划启动三期临床研究，展现出巨大市场潜力。</w:t>
      </w:r>
    </w:p>
    <w:p>
      <w:r>
        <w:rPr>
          <w:rFonts w:ascii="等线(中文正文)" w:hAnsi="等线(中文正文)" w:cs="等线(中文正文)" w:eastAsia="等线(中文正文)"/>
          <w:b w:val="false"/>
          <w:i w:val="false"/>
          <w:sz w:val="20"/>
        </w:rPr>
        <w:t/>
      </w:r>
    </w:p>
    <w:p>
      <w:pPr>
        <w:pStyle w:val="ab"/>
        <w:numPr>
          <w:numId w:val="10"/>
        </w:numPr>
      </w:pPr>
      <w:r>
        <w:t>23:59 百济神州双抗产品在肝癌治疗领域展现潜力</w:t>
      </w:r>
    </w:p>
    <w:p>
      <w:r>
        <w:rPr>
          <w:rFonts w:ascii="等线(中文正文)" w:hAnsi="等线(中文正文)" w:cs="等线(中文正文)" w:eastAsia="等线(中文正文)"/>
          <w:b w:val="false"/>
          <w:i w:val="false"/>
          <w:sz w:val="20"/>
        </w:rPr>
        <w:t>百济神州的BC方BB双抗产品在肝癌二线治疗中表现出色，数据超预期，有望启动全球三期临床。公司业绩指引上调，利润端增长明显，维持买入评级。风险包括商业化进展、市场竞争等。</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他在电话会上全面更新了百济神州的发展动态，强调了公司在创新药领域的领导地位，尤其是在商业化和研发方面所取得的成就。百济神州凭借其全球一体化的研发、生产和销售能力，成为国产创新药出海的领头羊，预计2025年全球销售额将达到53亿美元，增速40%，其中70%来自海外市场。他还分析了公司强劲的财务指引，包括预期收入在66到68亿美元之间，以及经营利润和非经营利润的显著增长，这表明公司正在持续升级研发并拓展产品线。
在产品管线方面，他特别提到了BCL2抑制剂和CDK4抑制剂等在血液瘤和实体瘤领域的市场潜力和竞争优势，强调了这些产品对公司业绩增长的推动作用。尽管市场对公司存在一些疑虑，如竞品影响、美国市场定价问题以及实体瘤管线的挑战，他针对这些问题进行了详细回应，表达了对公司未来发展的坚定信心。
综上所述，他高度评价了百济神州的全面进展和未来潜力，重申了对公司的积极评价和买入评级，认为其有望成为具有全球影响力的重要医药企业。</w:t>
      </w:r>
    </w:p>
    <w:p>
      <w:r>
        <w:rPr>
          <w:rFonts w:ascii="等线(中文正文)" w:hAnsi="等线(中文正文)" w:cs="等线(中文正文)" w:eastAsia="等线(中文正文)"/>
          <w:b w:val="false"/>
          <w:i w:val="false"/>
          <w:sz w:val="20"/>
        </w:rPr>
        <w:t/>
      </w:r>
    </w:p>
    <w:p>
      <w:pPr>
        <w:pStyle w:val="a7"/>
      </w:pPr>
      <w:r>
        <w:t>要点回顾</w:t>
      </w:r>
    </w:p>
    <w:p>
      <w:pPr>
        <w:pStyle w:val="ab"/>
      </w:pPr>
      <w:r>
        <w:t>为何推荐百济神州？</w:t>
      </w:r>
    </w:p>
    <w:p>
      <w:r>
        <w:rPr>
          <w:rFonts w:ascii="等线(中文正文)" w:hAnsi="等线(中文正文)" w:cs="等线(中文正文)" w:eastAsia="等线(中文正文)"/>
          <w:b w:val="false"/>
          <w:i w:val="false"/>
          <w:sz w:val="20"/>
        </w:rPr>
        <w:t>发言人1：推荐百济神州的原因在于其独特的全球一体化运营能力，以及在创新药领域的持续研发投入和丰富的管线布局。核心产品在学业领域展现同类最优效果，并被指南推荐为首选用药，有望在未来数年内持续攀升；同时，索托克拉BCL two等新药也展现出同类最优潜力，有望重塑血液瘤治疗格局。</w:t>
      </w:r>
    </w:p>
    <w:p>
      <w:r>
        <w:rPr>
          <w:rFonts w:ascii="等线(中文正文)" w:hAnsi="等线(中文正文)" w:cs="等线(中文正文)" w:eastAsia="等线(中文正文)"/>
          <w:b w:val="false"/>
          <w:i w:val="false"/>
          <w:sz w:val="20"/>
        </w:rPr>
        <w:t/>
      </w:r>
    </w:p>
    <w:p>
      <w:pPr>
        <w:pStyle w:val="ab"/>
      </w:pPr>
      <w:r>
        <w:t>百济神州在创新药公司中的独特性是什么？</w:t>
      </w:r>
    </w:p>
    <w:p>
      <w:r>
        <w:rPr>
          <w:rFonts w:ascii="等线(中文正文)" w:hAnsi="等线(中文正文)" w:cs="等线(中文正文)" w:eastAsia="等线(中文正文)"/>
          <w:b w:val="false"/>
          <w:i w:val="false"/>
          <w:sz w:val="20"/>
        </w:rPr>
        <w:t>发言人1：百济神州作为创新药公司的龙头，在创新公司中具有独特性，是极少数拥有全球研发、全球生产和全球销售一体化能力的中国药企，因此成为国产创新药出海的领军企业。</w:t>
      </w:r>
    </w:p>
    <w:p>
      <w:r>
        <w:rPr>
          <w:rFonts w:ascii="等线(中文正文)" w:hAnsi="等线(中文正文)" w:cs="等线(中文正文)" w:eastAsia="等线(中文正文)"/>
          <w:b w:val="false"/>
          <w:i w:val="false"/>
          <w:sz w:val="20"/>
        </w:rPr>
        <w:t/>
      </w:r>
    </w:p>
    <w:p>
      <w:pPr>
        <w:pStyle w:val="ab"/>
      </w:pPr>
      <w:r>
        <w:t>百济神州在业绩方面的表现如何？</w:t>
      </w:r>
    </w:p>
    <w:p>
      <w:r>
        <w:rPr>
          <w:rFonts w:ascii="等线(中文正文)" w:hAnsi="等线(中文正文)" w:cs="等线(中文正文)" w:eastAsia="等线(中文正文)"/>
          <w:b w:val="false"/>
          <w:i w:val="false"/>
          <w:sz w:val="20"/>
        </w:rPr>
        <w:t>发言人1：2025年，百济神州的全球销售额达到了53亿美元，同比增长40%，其中70%来自海外市场。核心产品不仅在美国市场表现优异，在全球多个市场也处于领先地位。公司对2026年的财务指引显示，全年收入预计为66到68亿美元，经营利润为10到11亿美元，非经营利润为17到18亿美元，增速较快。</w:t>
      </w:r>
    </w:p>
    <w:p>
      <w:r>
        <w:rPr>
          <w:rFonts w:ascii="等线(中文正文)" w:hAnsi="等线(中文正文)" w:cs="等线(中文正文)" w:eastAsia="等线(中文正文)"/>
          <w:b w:val="false"/>
          <w:i w:val="false"/>
          <w:sz w:val="20"/>
        </w:rPr>
        <w:t/>
      </w:r>
    </w:p>
    <w:p>
      <w:pPr>
        <w:pStyle w:val="ab"/>
      </w:pPr>
      <w:r>
        <w:t>市场对于百济神州的三方面关注点及其影响是什么？</w:t>
      </w:r>
    </w:p>
    <w:p>
      <w:r>
        <w:rPr>
          <w:rFonts w:ascii="等线(中文正文)" w:hAnsi="等线(中文正文)" w:cs="等线(中文正文)" w:eastAsia="等线(中文正文)"/>
          <w:b w:val="false"/>
          <w:i w:val="false"/>
          <w:sz w:val="20"/>
        </w:rPr>
        <w:t>发言人1：市场关注点主要包括：1) 海外竞品获批对其市占率的影响，但实际上百济神州凭借其独特的疗法推出后，产品组合优势有望扩大，市占率将进一步提高；2) 关于美国药品价格问题，由于一系列因素，百济神州在美国业务的发展阶段未受到显著影响，且已获得豁免资格；3) 公司实体瘤管线储备充足，多款产品展现优异初步潜力，有望带来第二增长曲线。</w:t>
      </w:r>
    </w:p>
    <w:p>
      <w:r>
        <w:rPr>
          <w:rFonts w:ascii="等线(中文正文)" w:hAnsi="等线(中文正文)" w:cs="等线(中文正文)" w:eastAsia="等线(中文正文)"/>
          <w:b w:val="false"/>
          <w:i w:val="false"/>
          <w:sz w:val="20"/>
        </w:rPr>
        <w:t/>
      </w:r>
    </w:p>
    <w:p>
      <w:pPr>
        <w:pStyle w:val="ab"/>
      </w:pPr>
      <w:r>
        <w:t>百济神州的整体概况和发展状况如何？</w:t>
      </w:r>
    </w:p>
    <w:p>
      <w:r>
        <w:rPr>
          <w:rFonts w:ascii="等线(中文正文)" w:hAnsi="等线(中文正文)" w:cs="等线(中文正文)" w:eastAsia="等线(中文正文)"/>
          <w:b w:val="false"/>
          <w:i w:val="false"/>
          <w:sz w:val="20"/>
        </w:rPr>
        <w:t>发言人1：百济神州成立于2010年，是中国新生代生物医药公司的典型代表，聚焦于肿瘤领域，拥有四十多款临床和商业化产品。核心产品如BTK抑制剂已获批上市，CDK4等产品处于三期临床阶段，多个产品即将进入注册临床阶段。公司在国内外市场均有布局，尤其在海外业绩增长强劲，商业化进入兑现期，预计未来利润增长迅速，并且研发规模大、效率高，多个产品在全球开发中处于领先地位，未来有望通过新分子实体带来第二增长点。</w:t>
      </w:r>
    </w:p>
    <w:p>
      <w:r>
        <w:rPr>
          <w:rFonts w:ascii="等线(中文正文)" w:hAnsi="等线(中文正文)" w:cs="等线(中文正文)" w:eastAsia="等线(中文正文)"/>
          <w:b w:val="false"/>
          <w:i w:val="false"/>
          <w:sz w:val="20"/>
        </w:rPr>
        <w:t/>
      </w:r>
    </w:p>
    <w:p>
      <w:pPr>
        <w:pStyle w:val="ab"/>
      </w:pPr>
      <w:r>
        <w:t>血液瘤主要可以分为哪几类市场，其中哪个市场规模较大且增速较快？在非霍金淋巴瘤市场中，百济的哪个产品占据主导地位？</w:t>
      </w:r>
    </w:p>
    <w:p>
      <w:r>
        <w:rPr>
          <w:rFonts w:ascii="等线(中文正文)" w:hAnsi="等线(中文正文)" w:cs="等线(中文正文)" w:eastAsia="等线(中文正文)"/>
          <w:b w:val="false"/>
          <w:i w:val="false"/>
          <w:sz w:val="20"/>
        </w:rPr>
        <w:t>发言人1：血液瘤主要可以分成多发性骨髓瘤MM、白血病和淋巴瘤这三块大的市场。其中淋巴瘤市场中，非霍金淋巴瘤或期基金淋巴瘤占据了90%的患者份额，尤其是以CLLSLL（慢性淋巴细胞白血病）为代表的核心市场。这个市场规模大且增速非常快。在非霍金淋巴瘤市场中，百济的伊布替尼是唯一一款针对异步体取得明确有效性的产品，在临床治疗中具有显著优势。</w:t>
      </w:r>
    </w:p>
    <w:p>
      <w:r>
        <w:rPr>
          <w:rFonts w:ascii="等线(中文正文)" w:hAnsi="等线(中文正文)" w:cs="等线(中文正文)" w:eastAsia="等线(中文正文)"/>
          <w:b w:val="false"/>
          <w:i w:val="false"/>
          <w:sz w:val="20"/>
        </w:rPr>
        <w:t/>
      </w:r>
    </w:p>
    <w:p>
      <w:pPr>
        <w:pStyle w:val="ab"/>
      </w:pPr>
      <w:r>
        <w:t>伊布替尼在市场份额上表现如何？</w:t>
      </w:r>
    </w:p>
    <w:p>
      <w:r>
        <w:rPr>
          <w:rFonts w:ascii="等线(中文正文)" w:hAnsi="等线(中文正文)" w:cs="等线(中文正文)" w:eastAsia="等线(中文正文)"/>
          <w:b w:val="false"/>
          <w:i w:val="false"/>
          <w:sz w:val="20"/>
        </w:rPr>
        <w:t>发言人1：自2023年初获批以来，伊布替尼的市场份额持续攀升，在2024年上半年已位居全市场第一，全球销售额持续增长，并且与其他竞品的差距在拉大，这得益于百济强大的商业化能力和优秀的临床研发能力。</w:t>
      </w:r>
    </w:p>
    <w:p>
      <w:r>
        <w:rPr>
          <w:rFonts w:ascii="等线(中文正文)" w:hAnsi="等线(中文正文)" w:cs="等线(中文正文)" w:eastAsia="等线(中文正文)"/>
          <w:b w:val="false"/>
          <w:i w:val="false"/>
          <w:sz w:val="20"/>
        </w:rPr>
        <w:t/>
      </w:r>
    </w:p>
    <w:p>
      <w:pPr>
        <w:pStyle w:val="ab"/>
      </w:pPr>
      <w:r>
        <w:t>BCL-2抑制剂在CLL治疗中的作用是什么？</w:t>
      </w:r>
    </w:p>
    <w:p>
      <w:r>
        <w:rPr>
          <w:rFonts w:ascii="等线(中文正文)" w:hAnsi="等线(中文正文)" w:cs="等线(中文正文)" w:eastAsia="等线(中文正文)"/>
          <w:b w:val="false"/>
          <w:i w:val="false"/>
          <w:sz w:val="20"/>
        </w:rPr>
        <w:t>发言人1：BCL-2抑制剂在CLL治疗中扮演重要角色，尤其作为固定周期治疗的选择，能够实现约12到14个月的治疗后停药，使患者恢复正常生活。它与BDK抑制剂联合使用时，可以显著提升缓解深度，提高治愈率，并有望降低患者经济负担和耐药风险。</w:t>
      </w:r>
    </w:p>
    <w:p>
      <w:r>
        <w:rPr>
          <w:rFonts w:ascii="等线(中文正文)" w:hAnsi="等线(中文正文)" w:cs="等线(中文正文)" w:eastAsia="等线(中文正文)"/>
          <w:b w:val="false"/>
          <w:i w:val="false"/>
          <w:sz w:val="20"/>
        </w:rPr>
        <w:t/>
      </w:r>
    </w:p>
    <w:p>
      <w:pPr>
        <w:pStyle w:val="ab"/>
      </w:pPr>
      <w:r>
        <w:t>慢性淋巴细胞白血病（CLL）的治疗主要有哪两种方案？在固定周期治疗方案中，伊布替尼相比竞品有哪些优势？</w:t>
      </w:r>
    </w:p>
    <w:p>
      <w:r>
        <w:rPr>
          <w:rFonts w:ascii="等线(中文正文)" w:hAnsi="等线(中文正文)" w:cs="等线(中文正文)" w:eastAsia="等线(中文正文)"/>
          <w:b w:val="false"/>
          <w:i w:val="false"/>
          <w:sz w:val="20"/>
        </w:rPr>
        <w:t>发言人1：慢性淋巴细胞白血病的治疗主要分为两大类：第一类是以etp抑制剂单药为代表的持续治疗，患者通常需终身服药；第二类是包括免疫化疗或ETK联合其他强效疗法的固定周期治疗，患者在一年左右达到症状基本治愈后可以停药，但复发风险相对较高。伊布替尼在疗效和安全性上都表现出领先优势，尤其是其55年的PFS率达到了76%，并且在心脏毒性等方面安全性更优，如房颤等严重心血管不良事件的发生率较低。</w:t>
      </w:r>
    </w:p>
    <w:p>
      <w:r>
        <w:rPr>
          <w:rFonts w:ascii="等线(中文正文)" w:hAnsi="等线(中文正文)" w:cs="等线(中文正文)" w:eastAsia="等线(中文正文)"/>
          <w:b w:val="false"/>
          <w:i w:val="false"/>
          <w:sz w:val="20"/>
        </w:rPr>
        <w:t/>
      </w:r>
    </w:p>
    <w:p>
      <w:pPr>
        <w:pStyle w:val="ab"/>
      </w:pPr>
      <w:r>
        <w:t>全球针对BCL-2抑制剂的固定周期治疗方案现状如何，以及百济的在研产品有何潜力？</w:t>
      </w:r>
    </w:p>
    <w:p>
      <w:r>
        <w:rPr>
          <w:rFonts w:ascii="等线(中文正文)" w:hAnsi="等线(中文正文)" w:cs="等线(中文正文)" w:eastAsia="等线(中文正文)"/>
          <w:b w:val="false"/>
          <w:i w:val="false"/>
          <w:sz w:val="20"/>
        </w:rPr>
        <w:t>发言人1：目前全球关注的固定周期治疗方案主要包括阿昔康推出的阿卡替尼联合维奈克拉方案。而百济的BCL-2抑制剂在固定周期治疗模式上展现出更多优势，尽管相比BTK抑制剂市场规模存在差距，但有望解决现有产品的毒性大、治疗方案复杂等问题，提高患者的依从性和便利性。</w:t>
      </w:r>
    </w:p>
    <w:p>
      <w:r>
        <w:rPr>
          <w:rFonts w:ascii="等线(中文正文)" w:hAnsi="等线(中文正文)" w:cs="等线(中文正文)" w:eastAsia="等线(中文正文)"/>
          <w:b w:val="false"/>
          <w:i w:val="false"/>
          <w:sz w:val="20"/>
        </w:rPr>
        <w:t/>
      </w:r>
    </w:p>
    <w:p>
      <w:pPr>
        <w:pStyle w:val="ab"/>
      </w:pPr>
      <w:r>
        <w:t>这款针对血液瘤的组合疗法在12个月实现停药，但随访数据显示的代价是什么？</w:t>
      </w:r>
    </w:p>
    <w:p>
      <w:r>
        <w:rPr>
          <w:rFonts w:ascii="等线(中文正文)" w:hAnsi="等线(中文正文)" w:cs="等线(中文正文)" w:eastAsia="等线(中文正文)"/>
          <w:b w:val="false"/>
          <w:i w:val="false"/>
          <w:sz w:val="20"/>
        </w:rPr>
        <w:t>发言人1：该组合疗法在12个月实现停药的代价是患者疾病进展速度更快，这与肿瘤治疗长期慢病化的理念不符，通常更强调控制肿瘤和延长生存期。</w:t>
      </w:r>
    </w:p>
    <w:p>
      <w:r>
        <w:rPr>
          <w:rFonts w:ascii="等线(中文正文)" w:hAnsi="等线(中文正文)" w:cs="等线(中文正文)" w:eastAsia="等线(中文正文)"/>
          <w:b w:val="false"/>
          <w:i w:val="false"/>
          <w:sz w:val="20"/>
        </w:rPr>
        <w:t/>
      </w:r>
    </w:p>
    <w:p>
      <w:pPr>
        <w:pStyle w:val="ab"/>
      </w:pPr>
      <w:r>
        <w:t>索特克拉相比之前PCLOE制剂有何优势，以及其当前的临床进展如何？</w:t>
      </w:r>
    </w:p>
    <w:p>
      <w:r>
        <w:rPr>
          <w:rFonts w:ascii="等线(中文正文)" w:hAnsi="等线(中文正文)" w:cs="等线(中文正文)" w:eastAsia="等线(中文正文)"/>
          <w:b w:val="false"/>
          <w:i w:val="false"/>
          <w:sz w:val="20"/>
        </w:rPr>
        <w:t>发言人1：索特克拉相比以前的PCLOE制剂有望取得更好的效果，临床前活力更长。目前，它已在美国和中国加速获批上市，适应症包括口服制剂的套利适应症，并且正在进行全球三期临床试验，评估其固定周期治疗对比传统注射疗法的效果。</w:t>
      </w:r>
    </w:p>
    <w:p>
      <w:r>
        <w:rPr>
          <w:rFonts w:ascii="等线(中文正文)" w:hAnsi="等线(中文正文)" w:cs="等线(中文正文)" w:eastAsia="等线(中文正文)"/>
          <w:b w:val="false"/>
          <w:i w:val="false"/>
          <w:sz w:val="20"/>
        </w:rPr>
        <w:t/>
      </w:r>
    </w:p>
    <w:p>
      <w:pPr>
        <w:pStyle w:val="ab"/>
      </w:pPr>
      <w:r>
        <w:t>百济针对现有和潜在主流疗法开展了哪些三期临床试验？对于BTK抑制剂的未来地位，有何看法？</w:t>
      </w:r>
    </w:p>
    <w:p>
      <w:r>
        <w:rPr>
          <w:rFonts w:ascii="等线(中文正文)" w:hAnsi="等线(中文正文)" w:cs="等线(中文正文)" w:eastAsia="等线(中文正文)"/>
          <w:b w:val="false"/>
          <w:i w:val="false"/>
          <w:sz w:val="20"/>
        </w:rPr>
        <w:t>发言人1：百济针对两种疗法开展了三期临床试验：一是索洛克拉固定周期治疗对比包含CD20在内的强效注射固定周期治疗；二是针对阿卡金加维奈克拉的新组合疗法。此外，针对BTK抑制剂的三期临床试验也正在进行中。虽然目前BTK抑制剂在复发难治疾病中的效果显著，但在一线治疗市场的地位仍待观察。公司有信心通过三期临床试验数据来改写一线治疗标准，并且这款产品具有新一代大单品的潜力。</w:t>
      </w:r>
    </w:p>
    <w:p>
      <w:r>
        <w:rPr>
          <w:rFonts w:ascii="等线(中文正文)" w:hAnsi="等线(中文正文)" w:cs="等线(中文正文)" w:eastAsia="等线(中文正文)"/>
          <w:b w:val="false"/>
          <w:i w:val="false"/>
          <w:sz w:val="20"/>
        </w:rPr>
        <w:t/>
      </w:r>
    </w:p>
    <w:p>
      <w:pPr>
        <w:pStyle w:val="ab"/>
      </w:pPr>
      <w:r>
        <w:t>百济在实体瘤领域的进展如何？</w:t>
      </w:r>
    </w:p>
    <w:p>
      <w:r>
        <w:rPr>
          <w:rFonts w:ascii="等线(中文正文)" w:hAnsi="等线(中文正文)" w:cs="等线(中文正文)" w:eastAsia="等线(中文正文)"/>
          <w:b w:val="false"/>
          <w:i w:val="false"/>
          <w:sz w:val="20"/>
        </w:rPr>
        <w:t>发言人1：在实体瘤领域，百济迎来价值重估的拐点，已推进多款具有4C plus或basics plus的新分子，在妇科流、乳腺癌、胃癌和胃肠道等领域持续开展注册临床试验，其中CDP抑制剂的表现尤为突出。</w:t>
      </w:r>
    </w:p>
    <w:p>
      <w:r>
        <w:rPr>
          <w:rFonts w:ascii="等线(中文正文)" w:hAnsi="等线(中文正文)" w:cs="等线(中文正文)" w:eastAsia="等线(中文正文)"/>
          <w:b w:val="false"/>
          <w:i w:val="false"/>
          <w:sz w:val="20"/>
        </w:rPr>
        <w:t/>
      </w:r>
    </w:p>
    <w:p>
      <w:pPr>
        <w:pStyle w:val="ab"/>
      </w:pPr>
      <w:r>
        <w:t>如何看待BCL2抑制剂在未来市场变迁中的地位？</w:t>
      </w:r>
    </w:p>
    <w:p>
      <w:r>
        <w:rPr>
          <w:rFonts w:ascii="等线(中文正文)" w:hAnsi="等线(中文正文)" w:cs="等线(中文正文)" w:eastAsia="等线(中文正文)"/>
          <w:b w:val="false"/>
          <w:i w:val="false"/>
          <w:sz w:val="20"/>
        </w:rPr>
        <w:t>发言人1：目前BCL2抑制剂如维奈克拉在快速放量，但未来几年或几年后其在市场中的地位仍不确定。目前看到的以BDK弹药为代表的持续治疗方案和包括BTK抑制剂在内的固定周期疗法，两者均未有超越现有标准疗法的分子出现。</w:t>
      </w:r>
    </w:p>
    <w:p>
      <w:r>
        <w:rPr>
          <w:rFonts w:ascii="等线(中文正文)" w:hAnsi="等线(中文正文)" w:cs="等线(中文正文)" w:eastAsia="等线(中文正文)"/>
          <w:b w:val="false"/>
          <w:i w:val="false"/>
          <w:sz w:val="20"/>
        </w:rPr>
        <w:t/>
      </w:r>
    </w:p>
    <w:p>
      <w:pPr>
        <w:pStyle w:val="ab"/>
      </w:pPr>
      <w:r>
        <w:t>美国医保研究显示了BTK抑制剂的哪些市场表现？</w:t>
      </w:r>
    </w:p>
    <w:p>
      <w:r>
        <w:rPr>
          <w:rFonts w:ascii="等线(中文正文)" w:hAnsi="等线(中文正文)" w:cs="等线(中文正文)" w:eastAsia="等线(中文正文)"/>
          <w:b w:val="false"/>
          <w:i w:val="false"/>
          <w:sz w:val="20"/>
        </w:rPr>
        <w:t>发言人1：研究表明，无论是作为一线还是二线治疗方案，BTK抑制剂都能显著降低美国整体医保支出。尽管固定周期疗法可能会减少市场规模，但其对BTK抑制剂市场份额的影响有限。实际上，对于追求长期治疗效果的患者，持续治疗是更优选择，这使得固定周期疗法在特定患者群体（如年轻患者或对停药有刚性需求的患者）中普及率较高。</w:t>
      </w:r>
    </w:p>
    <w:p>
      <w:r>
        <w:rPr>
          <w:rFonts w:ascii="等线(中文正文)" w:hAnsi="等线(中文正文)" w:cs="等线(中文正文)" w:eastAsia="等线(中文正文)"/>
          <w:b w:val="false"/>
          <w:i w:val="false"/>
          <w:sz w:val="20"/>
        </w:rPr>
        <w:t/>
      </w:r>
    </w:p>
    <w:p>
      <w:pPr>
        <w:pStyle w:val="ab"/>
      </w:pPr>
      <w:r>
        <w:t>BTK抑制剂与其他疗法相比，在美国医保费用方面有何优势？</w:t>
      </w:r>
    </w:p>
    <w:p>
      <w:r>
        <w:rPr>
          <w:rFonts w:ascii="等线(中文正文)" w:hAnsi="等线(中文正文)" w:cs="等线(中文正文)" w:eastAsia="等线(中文正文)"/>
          <w:b w:val="false"/>
          <w:i w:val="false"/>
          <w:sz w:val="20"/>
        </w:rPr>
        <w:t>发言人1：相比于上一代epc移植剂和传统化疗方案，BTK抑制剂能带来美国医保费用减少。未来，随着固定周期治疗法的推广和产品升级，例如BTK抑制剂与BCO two联合用药方案，百济相比竞品的优势将进一步扩大。目前市场上，泽布替尼处于领先地位，并且在疗效上显著优于其他两款竞品，尤其是与伊布替尼相比。</w:t>
      </w:r>
    </w:p>
    <w:p>
      <w:r>
        <w:rPr>
          <w:rFonts w:ascii="等线(中文正文)" w:hAnsi="等线(中文正文)" w:cs="等线(中文正文)" w:eastAsia="等线(中文正文)"/>
          <w:b w:val="false"/>
          <w:i w:val="false"/>
          <w:sz w:val="20"/>
        </w:rPr>
        <w:t/>
      </w:r>
    </w:p>
    <w:p>
      <w:pPr>
        <w:pStyle w:val="ab"/>
      </w:pPr>
      <w:r>
        <w:t>针对美国市场环境的变化，尤其是贸易政策和药品定价环境，百济是否受到较大影响？</w:t>
      </w:r>
    </w:p>
    <w:p>
      <w:r>
        <w:rPr>
          <w:rFonts w:ascii="等线(中文正文)" w:hAnsi="等线(中文正文)" w:cs="等线(中文正文)" w:eastAsia="等线(中文正文)"/>
          <w:b w:val="false"/>
          <w:i w:val="false"/>
          <w:sz w:val="20"/>
        </w:rPr>
        <w:t>发言人1：百济的泽布替尼产品在美国获批后实现完全地产化，不受贸易关税影响。此外，由于其针对特定病毒的功效，具备在211价谈判中的豁免资格，故在药品降价压力下，受影响较小。同时，Metal Car part d改革虽然改变了支付体系，但百济因有特殊政策，受到的影响远小于竞品，且随着同行提价和特定支付政策，风险得到了有效对冲。</w:t>
      </w:r>
    </w:p>
    <w:p>
      <w:r>
        <w:rPr>
          <w:rFonts w:ascii="等线(中文正文)" w:hAnsi="等线(中文正文)" w:cs="等线(中文正文)" w:eastAsia="等线(中文正文)"/>
          <w:b w:val="false"/>
          <w:i w:val="false"/>
          <w:sz w:val="20"/>
        </w:rPr>
        <w:t/>
      </w:r>
    </w:p>
    <w:p>
      <w:pPr>
        <w:pStyle w:val="ab"/>
      </w:pPr>
      <w:r>
        <w:t>百济的实体管线产品有何潜力及竞争力？</w:t>
      </w:r>
    </w:p>
    <w:p>
      <w:r>
        <w:rPr>
          <w:rFonts w:ascii="等线(中文正文)" w:hAnsi="等线(中文正文)" w:cs="等线(中文正文)" w:eastAsia="等线(中文正文)"/>
          <w:b w:val="false"/>
          <w:i w:val="false"/>
          <w:sz w:val="20"/>
        </w:rPr>
        <w:t>发言人1：百济的实体管线产品极具竞争力，尤其是其针对乳腺癌的CK4抑制剂，该产品全球销售额已达200亿美元，有望达到300亿美元。该产品在联合SO治疗一线乳腺癌时已展现出良好的疗效，安全性也较优，为公司打开了第二条增长曲线，带来了市值增长的预期差。</w:t>
      </w:r>
    </w:p>
    <w:p>
      <w:r>
        <w:rPr>
          <w:rFonts w:ascii="等线(中文正文)" w:hAnsi="等线(中文正文)" w:cs="等线(中文正文)" w:eastAsia="等线(中文正文)"/>
          <w:b w:val="false"/>
          <w:i w:val="false"/>
          <w:sz w:val="20"/>
        </w:rPr>
        <w:t/>
      </w:r>
    </w:p>
    <w:p>
      <w:pPr>
        <w:pStyle w:val="ab"/>
      </w:pPr>
      <w:r>
        <w:t>乳腺癌治疗中，传统CDK4/6抑制剂与百济的药物相比，在血液毒性方面的表现有何不同？</w:t>
      </w:r>
    </w:p>
    <w:p>
      <w:r>
        <w:rPr>
          <w:rFonts w:ascii="等线(中文正文)" w:hAnsi="等线(中文正文)" w:cs="等线(中文正文)" w:eastAsia="等线(中文正文)"/>
          <w:b w:val="false"/>
          <w:i w:val="false"/>
          <w:sz w:val="20"/>
        </w:rPr>
        <w:t>发言人1：传统CDK4/6抑制剂如瑞波西利或盖柏西利在治疗乳腺癌时，普遍存在严重的血液毒性问题，尤其是中性粒细胞减少率高达百分之八九十，并且有超过60%的患者会出现三级以上的中性粒细胞减少。而百济的这款药物在临床试验中展现了三级以上中性粒细胞减少的发生率为0，对于保护骨髓和降低血液毒性方面带来了革命性的改变。</w:t>
      </w:r>
    </w:p>
    <w:p>
      <w:r>
        <w:rPr>
          <w:rFonts w:ascii="等线(中文正文)" w:hAnsi="等线(中文正文)" w:cs="等线(中文正文)" w:eastAsia="等线(中文正文)"/>
          <w:b w:val="false"/>
          <w:i w:val="false"/>
          <w:sz w:val="20"/>
        </w:rPr>
        <w:t/>
      </w:r>
    </w:p>
    <w:p>
      <w:pPr>
        <w:pStyle w:val="ab"/>
      </w:pPr>
      <w:r>
        <w:t>这款药物在胃肠毒性方面的表现及改善措施是什么？</w:t>
      </w:r>
    </w:p>
    <w:p>
      <w:r>
        <w:rPr>
          <w:rFonts w:ascii="等线(中文正文)" w:hAnsi="等线(中文正文)" w:cs="等线(中文正文)" w:eastAsia="等线(中文正文)"/>
          <w:b w:val="false"/>
          <w:i w:val="false"/>
          <w:sz w:val="20"/>
        </w:rPr>
        <w:t>发言人1：该药物在用药过程中表现出较高的胃肠毒性，特别是腹泻发生率偏高。然而，当与食物同服并发生食物效应后，腹泻的不良反应发生率可以大幅降至一半，且均为一级反应。这一显著降低的胃肠毒性支持了这款药物未来长期用药的可能性。</w:t>
      </w:r>
    </w:p>
    <w:p>
      <w:r>
        <w:rPr>
          <w:rFonts w:ascii="等线(中文正文)" w:hAnsi="等线(中文正文)" w:cs="等线(中文正文)" w:eastAsia="等线(中文正文)"/>
          <w:b w:val="false"/>
          <w:i w:val="false"/>
          <w:sz w:val="20"/>
        </w:rPr>
        <w:t/>
      </w:r>
    </w:p>
    <w:p>
      <w:pPr>
        <w:pStyle w:val="ab"/>
      </w:pPr>
      <w:r>
        <w:t>百济的这款药物在妇科癌症领域的发展情况如何？</w:t>
      </w:r>
    </w:p>
    <w:p>
      <w:r>
        <w:rPr>
          <w:rFonts w:ascii="等线(中文正文)" w:hAnsi="等线(中文正文)" w:cs="等线(中文正文)" w:eastAsia="等线(中文正文)"/>
          <w:b w:val="false"/>
          <w:i w:val="false"/>
          <w:sz w:val="20"/>
        </w:rPr>
        <w:t>发言人1：百济从应用生物引进的一款针对妇科癌症的ABC产品已展现出优异的疗效。公司计划在今年Q4启动卵巢癌维持治疗的三期临床研究。在目标剂量下，该产品的CRRCOR达到了46%，其中2亿的CR数据尤为优异，DCR也达到了百分之百，同时安全性上具有差异化优势，包括较低的血液毒性及胃肠道毒性。</w:t>
      </w:r>
    </w:p>
    <w:p>
      <w:r>
        <w:rPr>
          <w:rFonts w:ascii="等线(中文正文)" w:hAnsi="等线(中文正文)" w:cs="等线(中文正文)" w:eastAsia="等线(中文正文)"/>
          <w:b w:val="false"/>
          <w:i w:val="false"/>
          <w:sz w:val="20"/>
        </w:rPr>
        <w:t/>
      </w:r>
    </w:p>
    <w:p>
      <w:pPr>
        <w:pStyle w:val="ab"/>
      </w:pPr>
      <w:r>
        <w:t>BC方BB双抗在肝癌领域的潜力如何？</w:t>
      </w:r>
    </w:p>
    <w:p>
      <w:r>
        <w:rPr>
          <w:rFonts w:ascii="等线(中文正文)" w:hAnsi="等线(中文正文)" w:cs="等线(中文正文)" w:eastAsia="等线(中文正文)"/>
          <w:b w:val="false"/>
          <w:i w:val="false"/>
          <w:sz w:val="20"/>
        </w:rPr>
        <w:t>发言人1：BC方BB双抗是百济推进较快的一个产品，有望在未来肝癌领域带来超预期效果。肝癌市场空间受限于传统疗法的治疗周期短，但百济的单药治疗二线及以上已达到传统免疫联合治疗的一线治疗水平，有望启动二线治疗的全球三期临床试验，并且联合P和贝华在一线治疗上的前景值得看好。</w:t>
      </w:r>
    </w:p>
    <w:p>
      <w:r>
        <w:rPr>
          <w:rFonts w:ascii="等线(中文正文)" w:hAnsi="等线(中文正文)" w:cs="等线(中文正文)" w:eastAsia="等线(中文正文)"/>
          <w:b w:val="false"/>
          <w:i w:val="false"/>
          <w:sz w:val="20"/>
        </w:rPr>
        <w:t/>
      </w:r>
    </w:p>
    <w:p>
      <w:pPr>
        <w:pStyle w:val="ab"/>
      </w:pPr>
      <w:r>
        <w:t>百济的整体盈利预测和投资建议是什么？</w:t>
      </w:r>
    </w:p>
    <w:p>
      <w:r>
        <w:rPr>
          <w:rFonts w:ascii="等线(中文正文)" w:hAnsi="等线(中文正文)" w:cs="等线(中文正文)" w:eastAsia="等线(中文正文)"/>
          <w:b w:val="false"/>
          <w:i w:val="false"/>
          <w:sz w:val="20"/>
        </w:rPr>
        <w:t>发言人1：百济今年业绩指引大幅上升，预计总收入从63到65亿美元上调至66到68亿美元，利润端非gap经营利润指引从14.5到15.5亿美元上调至17到18亿美元。考虑到目前股价对应较低的PE水平，维持之前给出的买入评级，并认为公司有望通过实体瘤光线、GPC防御双抗、去发育制剂以及CAAAC等概念验证和数据披露迎来催化，从而带来第二条增长曲线和预期差。</w:t>
      </w:r>
    </w:p>
    <w:p>
      <w:r>
        <w:rPr>
          <w:rFonts w:ascii="等线(中文正文)" w:hAnsi="等线(中文正文)" w:cs="等线(中文正文)" w:eastAsia="等线(中文正文)"/>
          <w:b w:val="false"/>
          <w:i w:val="false"/>
          <w:sz w:val="20"/>
        </w:rPr>
        <w:t/>
      </w:r>
    </w:p>
    <w:p>
      <w:pPr>
        <w:pStyle w:val="ab"/>
      </w:pPr>
      <w:r>
        <w:t>百济面临的主要风险有哪些？</w:t>
      </w:r>
    </w:p>
    <w:p>
      <w:r>
        <w:rPr>
          <w:rFonts w:ascii="等线(中文正文)" w:hAnsi="等线(中文正文)" w:cs="等线(中文正文)" w:eastAsia="等线(中文正文)"/>
          <w:b w:val="false"/>
          <w:i w:val="false"/>
          <w:sz w:val="20"/>
        </w:rPr>
        <w:t>发言人1：百济面临的风险包括商业化进展不及预期、市场竞争加剧、临床实验进展估计期以及产品上市进度估计预期等方面的风险。</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2026-08-14T00:15:40Z</dcterms:created>
  <dc:creator>Apache POI</dc:creator>
</cp:coreProperties>
</file>