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今世缘 260813_导读</w:t>
      </w:r>
    </w:p>
    <w:p>
      <w:pPr>
        <w:pStyle w:val="a0"/>
        <w:jc w:val="center"/>
      </w:pPr>
      <w:r>
        <w:t>2026年08月14日 08:08</w:t>
      </w:r>
    </w:p>
    <w:p>
      <w:pPr>
        <w:pStyle w:val="a7"/>
      </w:pPr>
      <w:r>
        <w:t>关键词</w:t>
      </w:r>
    </w:p>
    <w:p>
      <w:r>
        <w:rPr>
          <w:rFonts w:ascii="等线(中文正文)" w:hAnsi="等线(中文正文)" w:cs="等线(中文正文)" w:eastAsia="等线(中文正文)"/>
          <w:b w:val="false"/>
          <w:i w:val="false"/>
          <w:sz w:val="20"/>
        </w:rPr>
        <w:t xml:space="preserve">白酒板块 金石缘 江苏市场 产品结构优化 市场份额 禁酒令 V3 四开 三开 高端化 渠道升级 次高端 消费能力 价格带 经营韧性 股权结构 区域突破 产品策略 42度 江苏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白酒行业的低谷期背景下，分析者对板块及个别公司进行了深入分析。他们认为行业基本面不会持续恶化，预期将出现边际弱复苏。特别关注了金石缘和金世园，基于业绩确定性、产品结构和市场定位进行深入讨论。金石缘预计Q2业绩增长，而金世园在江苏市场的竞争优势和份额提升成为其业绩增长的关键。分析强调了公司在行业调整中，更重视经营韧性、产品结构优化、区域市场突破及估值修复。金石缘凭借品牌重塑、高端化战略和渠道升级展现强大适应能力；金世园在江苏省内市场的稳固地位和份额提升，预示着估值修复的可能。公司通过产品线调整、市场布局优化和渠道改革增强竞争力。尽管当前市场对白酒行业估值较低，基于公司基本面的稳健和市场地位，分析者看好未来估值修复的潜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白酒板块复苏与金石缘的投资逻辑分析</w:t>
      </w:r>
    </w:p>
    <w:p>
      <w:r>
        <w:rPr>
          <w:rFonts w:ascii="等线(中文正文)" w:hAnsi="等线(中文正文)" w:cs="等线(中文正文)" w:eastAsia="等线(中文正文)"/>
          <w:b w:val="false"/>
          <w:i w:val="false"/>
          <w:sz w:val="20"/>
        </w:rPr>
        <w:t>对话讨论了白酒板块的未来趋势，特别是金石缘作为优选标的的理由。尽管行业面临调整，金石缘展现出经营韧性，江苏市场为最大确定性来源，产品策略转向核心大单品与多价格带补位，省外市场潜力待开发。核心逻辑从高速增长转向份额提升、结构优化与区域突破，估值修复预期良好。</w:t>
      </w:r>
    </w:p>
    <w:p>
      <w:r>
        <w:rPr>
          <w:rFonts w:ascii="等线(中文正文)" w:hAnsi="等线(中文正文)" w:cs="等线(中文正文)" w:eastAsia="等线(中文正文)"/>
          <w:b w:val="false"/>
          <w:i w:val="false"/>
          <w:sz w:val="20"/>
        </w:rPr>
        <w:t/>
      </w:r>
    </w:p>
    <w:p>
      <w:pPr>
        <w:pStyle w:val="ab"/>
        <w:numPr>
          <w:numId w:val="2"/>
        </w:numPr>
      </w:pPr>
      <w:r>
        <w:t>02:23 金石源公司战略调整与经营韧性分析</w:t>
      </w:r>
    </w:p>
    <w:p>
      <w:r>
        <w:rPr>
          <w:rFonts w:ascii="等线(中文正文)" w:hAnsi="等线(中文正文)" w:cs="等线(中文正文)" w:eastAsia="等线(中文正文)"/>
          <w:b w:val="false"/>
          <w:i w:val="false"/>
          <w:sz w:val="20"/>
        </w:rPr>
        <w:t>回顾了金石源公司从1996年至今的发展历程，强调其在行业周期中的战略调整能力与经营韧性。公司经历了品牌重塑、高端化及渠道升级，成功适应市场变化，特别是在2012年行业调整期后，通过转型商务消费和婚宴市场，保持了增长势头。尽管2025年面临行业下行压力，公司仍展现出较强的市场竞争力，市场份额在江苏持续提升。股权结构方面，地方政府、管理层与员工持股形成稳定格局，有助于长期目标一致性。</w:t>
      </w:r>
    </w:p>
    <w:p>
      <w:r>
        <w:rPr>
          <w:rFonts w:ascii="等线(中文正文)" w:hAnsi="等线(中文正文)" w:cs="等线(中文正文)" w:eastAsia="等线(中文正文)"/>
          <w:b w:val="false"/>
          <w:i w:val="false"/>
          <w:sz w:val="20"/>
        </w:rPr>
        <w:t/>
      </w:r>
    </w:p>
    <w:p>
      <w:pPr>
        <w:pStyle w:val="ab"/>
        <w:numPr>
          <w:numId w:val="3"/>
        </w:numPr>
      </w:pPr>
      <w:r>
        <w:t>06:44 江苏白酒市场分析与竞争优势探讨</w:t>
      </w:r>
    </w:p>
    <w:p>
      <w:r>
        <w:rPr>
          <w:rFonts w:ascii="等线(中文正文)" w:hAnsi="等线(中文正文)" w:cs="等线(中文正文)" w:eastAsia="等线(中文正文)"/>
          <w:b w:val="false"/>
          <w:i w:val="false"/>
          <w:sz w:val="20"/>
        </w:rPr>
        <w:t>江苏作为全国经济强省，其白酒市场规模庞大，消费能力强劲，尤其是300元以上的高端消费明显高于多数省份。苏南、南京等地区主流消费价位已提升至400元，而苏北地区则相对较低。尽管行业调整导致消费规模阶段性回落，江苏仍被视为高价值白酒市场。公司通过产品结构优化、渠道精耕及区域下沉策略，有望稳住百亿基本盘并实现增长。</w:t>
      </w:r>
    </w:p>
    <w:p>
      <w:r>
        <w:rPr>
          <w:rFonts w:ascii="等线(中文正文)" w:hAnsi="等线(中文正文)" w:cs="等线(中文正文)" w:eastAsia="等线(中文正文)"/>
          <w:b w:val="false"/>
          <w:i w:val="false"/>
          <w:sz w:val="20"/>
        </w:rPr>
        <w:t/>
      </w:r>
    </w:p>
    <w:p>
      <w:pPr>
        <w:pStyle w:val="ab"/>
        <w:numPr>
          <w:numId w:val="4"/>
        </w:numPr>
      </w:pPr>
      <w:r>
        <w:t>10:09 公司产品策略演变与市场拓展分析</w:t>
      </w:r>
    </w:p>
    <w:p>
      <w:r>
        <w:rPr>
          <w:rFonts w:ascii="等线(中文正文)" w:hAnsi="等线(中文正文)" w:cs="等线(中文正文)" w:eastAsia="等线(中文正文)"/>
          <w:b w:val="false"/>
          <w:i w:val="false"/>
          <w:sz w:val="20"/>
        </w:rPr>
        <w:t>公司产品结构涵盖多个价格带，从百元至千元以上，重点布局中高端市场，通过BC联动一体化等模式培育新产品，强调产品体系韧性与市场适应性，策略从结构升级转向核心大单品聚焦与价格带扩容，以应对消费环境变化。</w:t>
      </w:r>
    </w:p>
    <w:p>
      <w:r>
        <w:rPr>
          <w:rFonts w:ascii="等线(中文正文)" w:hAnsi="等线(中文正文)" w:cs="等线(中文正文)" w:eastAsia="等线(中文正文)"/>
          <w:b w:val="false"/>
          <w:i w:val="false"/>
          <w:sz w:val="20"/>
        </w:rPr>
        <w:t/>
      </w:r>
    </w:p>
    <w:p>
      <w:pPr>
        <w:pStyle w:val="ab"/>
        <w:numPr>
          <w:numId w:val="5"/>
        </w:numPr>
      </w:pPr>
      <w:r>
        <w:t>12:55 金水源酒业度数差异化与市场拓展策略分析</w:t>
      </w:r>
    </w:p>
    <w:p>
      <w:r>
        <w:rPr>
          <w:rFonts w:ascii="等线(中文正文)" w:hAnsi="等线(中文正文)" w:cs="等线(中文正文)" w:eastAsia="等线(中文正文)"/>
          <w:b w:val="false"/>
          <w:i w:val="false"/>
          <w:sz w:val="20"/>
        </w:rPr>
        <w:t>讨论了金水源酒业以42度为核心产品的差异化策略，以及其在江苏市场的主导地位和未来增长潜力。指出公司通过产品结构升级和价格管控，实现毛利率提升和市场拓展，但短期内面临次高端需求承压和销售费用增加的挑战。</w:t>
      </w:r>
    </w:p>
    <w:p>
      <w:r>
        <w:rPr>
          <w:rFonts w:ascii="等线(中文正文)" w:hAnsi="等线(中文正文)" w:cs="等线(中文正文)" w:eastAsia="等线(中文正文)"/>
          <w:b w:val="false"/>
          <w:i w:val="false"/>
          <w:sz w:val="20"/>
        </w:rPr>
        <w:t/>
      </w:r>
    </w:p>
    <w:p>
      <w:pPr>
        <w:pStyle w:val="ab"/>
        <w:numPr>
          <w:numId w:val="6"/>
        </w:numPr>
      </w:pPr>
      <w:r>
        <w:t>17:22 江苏省内白酒市场渠道与增长分析</w:t>
      </w:r>
    </w:p>
    <w:p>
      <w:r>
        <w:rPr>
          <w:rFonts w:ascii="等线(中文正文)" w:hAnsi="等线(中文正文)" w:cs="等线(中文正文)" w:eastAsia="等线(中文正文)"/>
          <w:b w:val="false"/>
          <w:i w:val="false"/>
          <w:sz w:val="20"/>
        </w:rPr>
        <w:t>对话深入分析了江苏省内各区域的白酒市场特点，强调了南京市场的战略意义及苏南市场的未来潜力，同时指出省外市场作为长期增长点的重要性。江苏省内市场从2016年至2025年实现了显著增长，市占率提升明显，与洋河的竞争格局也发生了变化。省外市场虽然当前贡献有限，但正通过产品和模式验证逐步布局，展现出广阔的发展空间。</w:t>
      </w:r>
    </w:p>
    <w:p>
      <w:r>
        <w:rPr>
          <w:rFonts w:ascii="等线(中文正文)" w:hAnsi="等线(中文正文)" w:cs="等线(中文正文)" w:eastAsia="等线(中文正文)"/>
          <w:b w:val="false"/>
          <w:i w:val="false"/>
          <w:sz w:val="20"/>
        </w:rPr>
        <w:t/>
      </w:r>
    </w:p>
    <w:p>
      <w:pPr>
        <w:pStyle w:val="ab"/>
        <w:numPr>
          <w:numId w:val="7"/>
        </w:numPr>
      </w:pPr>
      <w:r>
        <w:t>21:32 公司省外市场战略与组织架构改革分析</w:t>
      </w:r>
    </w:p>
    <w:p>
      <w:r>
        <w:rPr>
          <w:rFonts w:ascii="等线(中文正文)" w:hAnsi="等线(中文正文)" w:cs="等线(中文正文)" w:eastAsia="等线(中文正文)"/>
          <w:b w:val="false"/>
          <w:i w:val="false"/>
          <w:sz w:val="20"/>
        </w:rPr>
        <w:t>对话讨论了公司省外市场的战略调整，从全面铺开到聚焦重点市场，再到样板市场和精细化运营的转变。强调了通过地级营销中心建设和渠道扁平化改革，支撑品牌培育和价格管理，以及向品牌事业部加销售统筹等多维度营销体系转型，以适应精细化市场份额竞争。</w:t>
      </w:r>
    </w:p>
    <w:p>
      <w:r>
        <w:rPr>
          <w:rFonts w:ascii="等线(中文正文)" w:hAnsi="等线(中文正文)" w:cs="等线(中文正文)" w:eastAsia="等线(中文正文)"/>
          <w:b w:val="false"/>
          <w:i w:val="false"/>
          <w:sz w:val="20"/>
        </w:rPr>
        <w:t/>
      </w:r>
    </w:p>
    <w:p>
      <w:pPr>
        <w:pStyle w:val="ab"/>
        <w:numPr>
          <w:numId w:val="8"/>
        </w:numPr>
      </w:pPr>
      <w:r>
        <w:t>24:32 行业筑底期公司估值分析与未来展望</w:t>
      </w:r>
    </w:p>
    <w:p>
      <w:r>
        <w:rPr>
          <w:rFonts w:ascii="等线(中文正文)" w:hAnsi="等线(中文正文)" w:cs="等线(中文正文)" w:eastAsia="等线(中文正文)"/>
          <w:b w:val="false"/>
          <w:i w:val="false"/>
          <w:sz w:val="20"/>
        </w:rPr>
        <w:t>对话围绕公司估值及未来发展前景展开，指出当前估值已反映悲观预期，处于历史低位。分析了公司基本面稳固，江苏省内市场份额提升，产品与区域结构调整等积极因素。预计2026至2028年收入与净利润将持续增长，PE逐步下降，当前估值与分红提供安全边际。短期面临渠道去库存等挑战，但中长期若能突破薄弱区域，形成省外样板市场，盈利增长有望恢复。</w:t>
      </w:r>
    </w:p>
    <w:p>
      <w:r>
        <w:rPr>
          <w:rFonts w:ascii="等线(中文正文)" w:hAnsi="等线(中文正文)" w:cs="等线(中文正文)" w:eastAsia="等线(中文正文)"/>
          <w:b w:val="false"/>
          <w:i w:val="false"/>
          <w:sz w:val="20"/>
        </w:rPr>
        <w:t/>
      </w:r>
    </w:p>
    <w:p>
      <w:pPr>
        <w:pStyle w:val="a7"/>
      </w:pPr>
      <w:r>
        <w:t>发言总结</w:t>
      </w:r>
    </w:p>
    <w:p>
      <w:pPr>
        <w:pStyle w:val="ab"/>
        <w:numPr>
          <w:numId w:val="9"/>
        </w:numPr>
      </w:pPr>
      <w:r>
        <w:t>发言人1</w:t>
      </w:r>
    </w:p>
    <w:p>
      <w:r>
        <w:rPr>
          <w:rFonts w:ascii="等线(中文正文)" w:hAnsi="等线(中文正文)" w:cs="等线(中文正文)" w:eastAsia="等线(中文正文)"/>
          <w:b w:val="false"/>
          <w:i w:val="false"/>
          <w:sz w:val="20"/>
        </w:rPr>
        <w:t>他对白酒板块表示继续看好，尤其对金石缘作为首推标的表现出强烈的信心。其看好理由基于板块低谷期基本面改善的趋势，以及金石缘自身业绩的确定性和在江苏省内市场份额的持续增长。他指出，尽管白酒行业整体面临深度调整，但金石缘仍能保持稳健的基本面，特别是在江苏市场，其收入和市场份额均有显著增长。产品结构和区域布局的优化是金石缘应对行业挑战、提升竞争力的关键策略。此外，他也强调了公司治理结构的稳健性和强大的地方国资背景，以及金石缘在江苏市场的领先地位和品牌影响力。通过对当前行业环境、公司策略及未来展望的分析，他认为金石缘在经历短暂的调整后，有望恢复增长，投资价值凸显。</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问：在当前白酒行业深度调整的背景下，你们对公司的判断关注的焦点是什么？</w:t>
      </w:r>
    </w:p>
    <w:p>
      <w:r>
        <w:rPr>
          <w:rFonts w:ascii="等线(中文正文)" w:hAnsi="等线(中文正文)" w:cs="等线(中文正文)" w:eastAsia="等线(中文正文)"/>
          <w:b w:val="false"/>
          <w:i w:val="false"/>
          <w:sz w:val="20"/>
        </w:rPr>
        <w:t>发言人1 答：在当前背景下，我们对公司的判断不再仅基于行业景气度的收入高增长，而是重点聚焦三个问题：第一，公司现有百亿规模的稳定性如何？第二，公司在江苏省内的产品结构和市场份额是否还有增量空间？第三，在估值明显回落的情况下，未来基本面企稳能否带来估值修复？</w:t>
      </w:r>
    </w:p>
    <w:p>
      <w:r>
        <w:rPr>
          <w:rFonts w:ascii="等线(中文正文)" w:hAnsi="等线(中文正文)" w:cs="等线(中文正文)" w:eastAsia="等线(中文正文)"/>
          <w:b w:val="false"/>
          <w:i w:val="false"/>
          <w:sz w:val="20"/>
        </w:rPr>
        <w:t/>
      </w:r>
    </w:p>
    <w:p>
      <w:pPr>
        <w:pStyle w:val="ab"/>
      </w:pPr>
      <w:r>
        <w:t>发言人1 问：公司的经营韧性体现在哪些方面？</w:t>
      </w:r>
    </w:p>
    <w:p>
      <w:r>
        <w:rPr>
          <w:rFonts w:ascii="等线(中文正文)" w:hAnsi="等线(中文正文)" w:cs="等线(中文正文)" w:eastAsia="等线(中文正文)"/>
          <w:b w:val="false"/>
          <w:i w:val="false"/>
          <w:sz w:val="20"/>
        </w:rPr>
        <w:t>发言人1 答：公司在行业调整期展现出极强的经营韧性。尽管2025年受江苏禁酒令影响，公司收入和利润同比分别下降了11.8%和23.7%，但横向对比，其收入增速在白酒上市公司中排名第四，利润增速排名第七，表现优于多数同行。</w:t>
      </w:r>
    </w:p>
    <w:p>
      <w:r>
        <w:rPr>
          <w:rFonts w:ascii="等线(中文正文)" w:hAnsi="等线(中文正文)" w:cs="等线(中文正文)" w:eastAsia="等线(中文正文)"/>
          <w:b w:val="false"/>
          <w:i w:val="false"/>
          <w:sz w:val="20"/>
        </w:rPr>
        <w:t/>
      </w:r>
    </w:p>
    <w:p>
      <w:pPr>
        <w:pStyle w:val="ab"/>
      </w:pPr>
      <w:r>
        <w:t>发言人1 问：江苏市场对公司的重要性体现在哪里？</w:t>
      </w:r>
    </w:p>
    <w:p>
      <w:r>
        <w:rPr>
          <w:rFonts w:ascii="等线(中文正文)" w:hAnsi="等线(中文正文)" w:cs="等线(中文正文)" w:eastAsia="等线(中文正文)"/>
          <w:b w:val="false"/>
          <w:i w:val="false"/>
          <w:sz w:val="20"/>
        </w:rPr>
        <w:t>发言人1 答：江苏市场是公司最大的确定性来源。从2016年到2025年，公司在江苏市场的收入一路从23.9亿元提升到90.8亿元，市场份额也从约13%增长至接近20%，并且首次超过了洋河。</w:t>
      </w:r>
    </w:p>
    <w:p>
      <w:r>
        <w:rPr>
          <w:rFonts w:ascii="等线(中文正文)" w:hAnsi="等线(中文正文)" w:cs="等线(中文正文)" w:eastAsia="等线(中文正文)"/>
          <w:b w:val="false"/>
          <w:i w:val="false"/>
          <w:sz w:val="20"/>
        </w:rPr>
        <w:t/>
      </w:r>
    </w:p>
    <w:p>
      <w:pPr>
        <w:pStyle w:val="ab"/>
      </w:pPr>
      <w:r>
        <w:t>发言人1 问：公司精选产品的逻辑发生了什么变化？</w:t>
      </w:r>
    </w:p>
    <w:p>
      <w:r>
        <w:rPr>
          <w:rFonts w:ascii="等线(中文正文)" w:hAnsi="等线(中文正文)" w:cs="等线(中文正文)" w:eastAsia="等线(中文正文)"/>
          <w:b w:val="false"/>
          <w:i w:val="false"/>
          <w:sz w:val="20"/>
        </w:rPr>
        <w:t>发言人1 答：公司的精选产品逻辑正在从过去的单纯结构升级转向以核心大单品为主导，辅以多价格带的产品布局。四开产品稳住基本盘，V3负责向上升级，规划中的三开补充300-400元价格带，戴雅则向下拓展百元以下市场，同时V9和2049提升品牌形象，市场端通过省内份额提升和省外长三角及环江苏板块化复制，为公司打开了长期发展空间。</w:t>
      </w:r>
    </w:p>
    <w:p>
      <w:r>
        <w:rPr>
          <w:rFonts w:ascii="等线(中文正文)" w:hAnsi="等线(中文正文)" w:cs="等线(中文正文)" w:eastAsia="等线(中文正文)"/>
          <w:b w:val="false"/>
          <w:i w:val="false"/>
          <w:sz w:val="20"/>
        </w:rPr>
        <w:t/>
      </w:r>
    </w:p>
    <w:p>
      <w:pPr>
        <w:pStyle w:val="ab"/>
      </w:pPr>
      <w:r>
        <w:t>发言人1 问：公司历史上是如何适应行业周期变化并实现发展的？</w:t>
      </w:r>
    </w:p>
    <w:p>
      <w:r>
        <w:rPr>
          <w:rFonts w:ascii="等线(中文正文)" w:hAnsi="等线(中文正文)" w:cs="等线(中文正文)" w:eastAsia="等线(中文正文)"/>
          <w:b w:val="false"/>
          <w:i w:val="false"/>
          <w:sz w:val="20"/>
        </w:rPr>
        <w:t>发言人1 答：公司发展历程可以分为五个阶段，通过行业周期的历练，展现出较强的战略调整和经营适应能力。从高温酒厂到金石源的转变，以及国元创牌、高端化战略、上市扩张等关键节点，公司成功实现了品牌重塑、渠道升级和市场份额的提升。</w:t>
      </w:r>
    </w:p>
    <w:p>
      <w:r>
        <w:rPr>
          <w:rFonts w:ascii="等线(中文正文)" w:hAnsi="等线(中文正文)" w:cs="等线(中文正文)" w:eastAsia="等线(中文正文)"/>
          <w:b w:val="false"/>
          <w:i w:val="false"/>
          <w:sz w:val="20"/>
        </w:rPr>
        <w:t/>
      </w:r>
    </w:p>
    <w:p>
      <w:pPr>
        <w:pStyle w:val="ab"/>
      </w:pPr>
      <w:r>
        <w:t>发言人1 问：公司股权结构和治理层面有何特点？</w:t>
      </w:r>
    </w:p>
    <w:p>
      <w:r>
        <w:rPr>
          <w:rFonts w:ascii="等线(中文正文)" w:hAnsi="等线(中文正文)" w:cs="等线(中文正文)" w:eastAsia="等线(中文正文)"/>
          <w:b w:val="false"/>
          <w:i w:val="false"/>
          <w:sz w:val="20"/>
        </w:rPr>
        <w:t>发言人1 答：公司的股权结构独特，由涟水县政府通过金水源集团持有公司约16%的股权，形成了地方政府、公司管理层和员工共同绑定的局面。此外，2024年底，公司控股股东集团推出了增持计划，这种股权结构有利于保持公司长期经营目标的一致性，并在行业调整期避免过度追求短期规模扩张。</w:t>
      </w:r>
    </w:p>
    <w:p>
      <w:r>
        <w:rPr>
          <w:rFonts w:ascii="等线(中文正文)" w:hAnsi="等线(中文正文)" w:cs="等线(中文正文)" w:eastAsia="等线(中文正文)"/>
          <w:b w:val="false"/>
          <w:i w:val="false"/>
          <w:sz w:val="20"/>
        </w:rPr>
        <w:t/>
      </w:r>
    </w:p>
    <w:p>
      <w:pPr>
        <w:pStyle w:val="ab"/>
      </w:pPr>
      <w:r>
        <w:t>发言人1 问：江苏为何能支撑如此大的白酒消费规模？江苏白酒市场的特点是什么？</w:t>
      </w:r>
    </w:p>
    <w:p>
      <w:r>
        <w:rPr>
          <w:rFonts w:ascii="等线(中文正文)" w:hAnsi="等线(中文正文)" w:cs="等线(中文正文)" w:eastAsia="等线(中文正文)"/>
          <w:b w:val="false"/>
          <w:i w:val="false"/>
          <w:sz w:val="20"/>
        </w:rPr>
        <w:t>发言人1 答：江苏作为全国经济和消费能力最强的省份之一，2024年GDP达到14.2万亿元，仅次于广东，并且居民消费能力强，食品研究人均消费支出位于全国前列。虽然GDP本身不是直接驱动白酒消费的因素，但背后的商务活动、居民收入和宴请礼赠需求是关键。江苏企业数量多、城市密集、居民收入高，这些因素共同决定了其对中高端白酒的消费能力。江苏白酒市场内部消费差异大，苏南和南京等市场经济发达地区，主流消费价位已从200元左右升级至300到700元，竞争品牌多元；而苏北地区则以徐州、淮安等地为主，饮酒量大但消费价格相对偏低，主流价位集中在100到300元左右，地产酒品牌粘性更强。</w:t>
      </w:r>
    </w:p>
    <w:p>
      <w:r>
        <w:rPr>
          <w:rFonts w:ascii="等线(中文正文)" w:hAnsi="等线(中文正文)" w:cs="等线(中文正文)" w:eastAsia="等线(中文正文)"/>
          <w:b w:val="false"/>
          <w:i w:val="false"/>
          <w:sz w:val="20"/>
        </w:rPr>
        <w:t/>
      </w:r>
    </w:p>
    <w:p>
      <w:pPr>
        <w:pStyle w:val="ab"/>
      </w:pPr>
      <w:r>
        <w:t>发言人1 问：江苏白酒市场的规模如何？</w:t>
      </w:r>
    </w:p>
    <w:p>
      <w:r>
        <w:rPr>
          <w:rFonts w:ascii="等线(中文正文)" w:hAnsi="等线(中文正文)" w:cs="等线(中文正文)" w:eastAsia="等线(中文正文)"/>
          <w:b w:val="false"/>
          <w:i w:val="false"/>
          <w:sz w:val="20"/>
        </w:rPr>
        <w:t>发言人1 答：江苏白酒市场规模在2024年预估为620亿元，占全国整体的约9%，稳居全国第一梯队，与山东并驾齐驱。从2016年的254亿元增长到2024年的620亿元，八年间的增速接近12%。</w:t>
      </w:r>
    </w:p>
    <w:p>
      <w:r>
        <w:rPr>
          <w:rFonts w:ascii="等线(中文正文)" w:hAnsi="等线(中文正文)" w:cs="等线(中文正文)" w:eastAsia="等线(中文正文)"/>
          <w:b w:val="false"/>
          <w:i w:val="false"/>
          <w:sz w:val="20"/>
        </w:rPr>
        <w:t/>
      </w:r>
    </w:p>
    <w:p>
      <w:pPr>
        <w:pStyle w:val="ab"/>
      </w:pPr>
      <w:r>
        <w:t>发言人1 问：公司在当前行业环境下如何稳住百亿基本盘并寻求增长？</w:t>
      </w:r>
    </w:p>
    <w:p>
      <w:r>
        <w:rPr>
          <w:rFonts w:ascii="等线(中文正文)" w:hAnsi="等线(中文正文)" w:cs="等线(中文正文)" w:eastAsia="等线(中文正文)"/>
          <w:b w:val="false"/>
          <w:i w:val="false"/>
          <w:sz w:val="20"/>
        </w:rPr>
        <w:t>发言人1 答：公司通过优化产品结构，包括下沉至省内薄弱区域以及精耕渠道和组织，实现稳住百亿基本盘，并有望重新循环增长。具体产品布局上，公司拥有覆盖百元到千元以上不同价格带的产品线，如四开卡位在400至500元，大单品对开定位在250至300元，V3和V6/V9等产品向上延伸至500至600元乃至千元以上，同时还有向下延伸至百元到200元左右的单开淡雅系列。</w:t>
      </w:r>
    </w:p>
    <w:p>
      <w:r>
        <w:rPr>
          <w:rFonts w:ascii="等线(中文正文)" w:hAnsi="等线(中文正文)" w:cs="等线(中文正文)" w:eastAsia="等线(中文正文)"/>
          <w:b w:val="false"/>
          <w:i w:val="false"/>
          <w:sz w:val="20"/>
        </w:rPr>
        <w:t/>
      </w:r>
    </w:p>
    <w:p>
      <w:pPr>
        <w:pStyle w:val="ab"/>
      </w:pPr>
      <w:r>
        <w:t>发言人1 问：公司未来的产品增量规划如何？</w:t>
      </w:r>
    </w:p>
    <w:p>
      <w:r>
        <w:rPr>
          <w:rFonts w:ascii="等线(中文正文)" w:hAnsi="等线(中文正文)" w:cs="等线(中文正文)" w:eastAsia="等线(中文正文)"/>
          <w:b w:val="false"/>
          <w:i w:val="false"/>
          <w:sz w:val="20"/>
        </w:rPr>
        <w:t>发言人1 答：公司近年来持续强化高端品牌形象，推出V3、V6、V9以及千元以上的2049等新产品。其中，三开产品定位在300至400元价格带，计划重点布局苏中和苏南地区，通过BC联动一体化等方式进行培育，填补对开和四开之间的价格空档，而非短期放量或贡献收入，而是着眼于长期的产品体系优化和市场拓展。</w:t>
      </w:r>
    </w:p>
    <w:p>
      <w:r>
        <w:rPr>
          <w:rFonts w:ascii="等线(中文正文)" w:hAnsi="等线(中文正文)" w:cs="等线(中文正文)" w:eastAsia="等线(中文正文)"/>
          <w:b w:val="false"/>
          <w:i w:val="false"/>
          <w:sz w:val="20"/>
        </w:rPr>
        <w:t/>
      </w:r>
    </w:p>
    <w:p>
      <w:pPr>
        <w:pStyle w:val="ab"/>
      </w:pPr>
      <w:r>
        <w:t>发言人1 问：金石源的核心产品围绕42度展开，能否谈谈公司在产品结构升级方面的表现？</w:t>
      </w:r>
    </w:p>
    <w:p>
      <w:r>
        <w:rPr>
          <w:rFonts w:ascii="等线(中文正文)" w:hAnsi="等线(中文正文)" w:cs="等线(中文正文)" w:eastAsia="等线(中文正文)"/>
          <w:b w:val="false"/>
          <w:i w:val="false"/>
          <w:sz w:val="20"/>
        </w:rPr>
        <w:t>发言人1 答：金石源历史上高增长很大程度上得益于产品结构升级，其中科学家系列（出厂价300元以上）包括四开和微信等高端产品，特一类系列（出厂价100-300元）主要包括对开、单开和淡雅系列。从2016年到2024年，低价类产品的收入占比从37%提升至65%，而销量增长标签为29.6%，但吨价并未显著提升，说明高端化并非仅依赖提价，而是消费者向四开、微信等中高端产品的消费习惯迁移。</w:t>
      </w:r>
    </w:p>
    <w:p>
      <w:r>
        <w:rPr>
          <w:rFonts w:ascii="等线(中文正文)" w:hAnsi="等线(中文正文)" w:cs="等线(中文正文)" w:eastAsia="等线(中文正文)"/>
          <w:b w:val="false"/>
          <w:i w:val="false"/>
          <w:sz w:val="20"/>
        </w:rPr>
        <w:t/>
      </w:r>
    </w:p>
    <w:p>
      <w:pPr>
        <w:pStyle w:val="ab"/>
      </w:pPr>
      <w:r>
        <w:t>发言人1 问：2025年金石源的产品结构有何变化，以及对整体经营的影响是什么？</w:t>
      </w:r>
    </w:p>
    <w:p>
      <w:r>
        <w:rPr>
          <w:rFonts w:ascii="等线(中文正文)" w:hAnsi="等线(中文正文)" w:cs="等线(中文正文)" w:eastAsia="等线(中文正文)"/>
          <w:b w:val="false"/>
          <w:i w:val="false"/>
          <w:sz w:val="20"/>
        </w:rPr>
        <w:t>发言人1 答：在2025年，特价产品收入占比下降至62%，推类提升至33%，以单开为主导。这表明次高端产品需求阶段性承压，但长期消费结构升级趋势未变。公司通过优化产品结构以实现更均衡的策略，如稳定基本盘的同时，通过三开产品对抗下代码，满足不同消费分层需求。尽管如此，由于科学家产品占比提升导致毛利率上升，而销售费用率增加叠加毛利率下行的影响，使得2025年利润下降幅度明显大于收入。</w:t>
      </w:r>
    </w:p>
    <w:p>
      <w:r>
        <w:rPr>
          <w:rFonts w:ascii="等线(中文正文)" w:hAnsi="等线(中文正文)" w:cs="等线(中文正文)" w:eastAsia="等线(中文正文)"/>
          <w:b w:val="false"/>
          <w:i w:val="false"/>
          <w:sz w:val="20"/>
        </w:rPr>
        <w:t/>
      </w:r>
    </w:p>
    <w:p>
      <w:pPr>
        <w:pStyle w:val="ab"/>
      </w:pPr>
      <w:r>
        <w:t>发言人1 问：金石源的价格管控策略经历了哪些转变？</w:t>
      </w:r>
    </w:p>
    <w:p>
      <w:r>
        <w:rPr>
          <w:rFonts w:ascii="等线(中文正文)" w:hAnsi="等线(中文正文)" w:cs="等线(中文正文)" w:eastAsia="等线(中文正文)"/>
          <w:b w:val="false"/>
          <w:i w:val="false"/>
          <w:sz w:val="20"/>
        </w:rPr>
        <w:t>发言人1 答：19年至22年，金石源主要处于主动提价阶段，多次上调四开和对开的出厂价及终端价。23年至24年转向产品换代和配额管理，第五代四开上市后继续上调价格，并实施计划内与计划外配额差异化定价。至25年春节期间，公司选择暂停接受四开和对开订单，表明价格管理已从单纯向上提价转变为控量稳价，以维护渠道利润和量价平衡。</w:t>
      </w:r>
    </w:p>
    <w:p>
      <w:r>
        <w:rPr>
          <w:rFonts w:ascii="等线(中文正文)" w:hAnsi="等线(中文正文)" w:cs="等线(中文正文)" w:eastAsia="等线(中文正文)"/>
          <w:b w:val="false"/>
          <w:i w:val="false"/>
          <w:sz w:val="20"/>
        </w:rPr>
        <w:t/>
      </w:r>
    </w:p>
    <w:p>
      <w:pPr>
        <w:pStyle w:val="ab"/>
      </w:pPr>
      <w:r>
        <w:t>发言人1 问：金石源在省内市场的布局和增长情况如何？苏中和苏南地区在公司省内市场的地位如何？</w:t>
      </w:r>
    </w:p>
    <w:p>
      <w:r>
        <w:rPr>
          <w:rFonts w:ascii="等线(中文正文)" w:hAnsi="等线(中文正文)" w:cs="等线(中文正文)" w:eastAsia="等线(中文正文)"/>
          <w:b w:val="false"/>
          <w:i w:val="false"/>
          <w:sz w:val="20"/>
        </w:rPr>
        <w:t>发言人1 答：2025年，公司省内收入占比高达91%，预计未来3到5年内，江苏仍然是公司增长的主要来源。其中，南京和淮安两个大区贡献了约22%和19%的收入，是最核心市场；而苏南和淮海大区如苏州等地的收入占比也达到19%。从历史增速看，南京和苏州增速最快，证明公司有能力在其他区域复制增长模式。苏中地区（扬州、泰州、南通）自2016年以来收入复合增长率约为20%，收入占比提升至19%，显示出从培育向放量阶段过渡的特点。苏南地区（无锡、苏州、常州）经济和消费能力强，但2025年收入占比仅为11%，与当地白酒市场容量不匹配，未来有望通过微信、四开、三开等高端产品的匹配实现增长，成为省内下一个重点跟踪的增长方向。</w:t>
      </w:r>
    </w:p>
    <w:p>
      <w:r>
        <w:rPr>
          <w:rFonts w:ascii="等线(中文正文)" w:hAnsi="等线(中文正文)" w:cs="等线(中文正文)" w:eastAsia="等线(中文正文)"/>
          <w:b w:val="false"/>
          <w:i w:val="false"/>
          <w:sz w:val="20"/>
        </w:rPr>
        <w:t/>
      </w:r>
    </w:p>
    <w:p>
      <w:pPr>
        <w:pStyle w:val="ab"/>
      </w:pPr>
      <w:r>
        <w:t>发言人1 问：金石源渠道建设方面有何特点？</w:t>
      </w:r>
    </w:p>
    <w:p>
      <w:r>
        <w:rPr>
          <w:rFonts w:ascii="等线(中文正文)" w:hAnsi="等线(中文正文)" w:cs="等线(中文正文)" w:eastAsia="等线(中文正文)"/>
          <w:b w:val="false"/>
          <w:i w:val="false"/>
          <w:sz w:val="20"/>
        </w:rPr>
        <w:t>发言人1 答：渠道方面，各地各区经销商数量和单商产出存在明显差异，如南京经销商数量虽不多但单商体量高，淮安经销商数量最多但单商体量较小，显示出渠道下沉趋势。同时，电商级市场竞争以及成熟市场模式的复刻将成为省内增长的重要驱动力。</w:t>
      </w:r>
    </w:p>
    <w:p>
      <w:r>
        <w:rPr>
          <w:rFonts w:ascii="等线(中文正文)" w:hAnsi="等线(中文正文)" w:cs="等线(中文正文)" w:eastAsia="等线(中文正文)"/>
          <w:b w:val="false"/>
          <w:i w:val="false"/>
          <w:sz w:val="20"/>
        </w:rPr>
        <w:t/>
      </w:r>
    </w:p>
    <w:p>
      <w:pPr>
        <w:pStyle w:val="ab"/>
      </w:pPr>
      <w:r>
        <w:t>发言人1 问：公司在江苏市场的份额变化如何？</w:t>
      </w:r>
    </w:p>
    <w:p>
      <w:r>
        <w:rPr>
          <w:rFonts w:ascii="等线(中文正文)" w:hAnsi="等线(中文正文)" w:cs="等线(中文正文)" w:eastAsia="等线(中文正文)"/>
          <w:b w:val="false"/>
          <w:i w:val="false"/>
          <w:sz w:val="20"/>
        </w:rPr>
        <w:t>发言人1 答：按照销售收入口径测算，公司在江苏的市场份额从约10%提升至接近20%，同期洋河省内份额从42.1%下降至18.4%，双方差距持续收窄。尽管2025年技术员收入有所下降，但从竞争格局看，公司在整体收缩市场中实现了份额相对提升，这是金石源长期逻辑未变的重要依据之一。</w:t>
      </w:r>
    </w:p>
    <w:p>
      <w:r>
        <w:rPr>
          <w:rFonts w:ascii="等线(中文正文)" w:hAnsi="等线(中文正文)" w:cs="等线(中文正文)" w:eastAsia="等线(中文正文)"/>
          <w:b w:val="false"/>
          <w:i w:val="false"/>
          <w:sz w:val="20"/>
        </w:rPr>
        <w:t/>
      </w:r>
    </w:p>
    <w:p>
      <w:pPr>
        <w:pStyle w:val="ab"/>
      </w:pPr>
      <w:r>
        <w:t>发言人1 问：淮安和南京两个最大市场的特点及战略意义是什么？</w:t>
      </w:r>
    </w:p>
    <w:p>
      <w:r>
        <w:rPr>
          <w:rFonts w:ascii="等线(中文正文)" w:hAnsi="等线(中文正文)" w:cs="等线(中文正文)" w:eastAsia="等线(中文正文)"/>
          <w:b w:val="false"/>
          <w:i w:val="false"/>
          <w:sz w:val="20"/>
        </w:rPr>
        <w:t>发言人1 答：淮安作为传统根据地市场，市场份额较高，是稳住公司基本盘的关键。而南京并非传统根据地，而是公司早期确立的核心战略市场，通过直分销、高额费用投入、培育商务消费者意见领袖及渠道招商等方式成功打开市场，收入复合增速达22.4%，在2019年成为第一大市场，证明了金石源有能力将非优势市场转化为优质市场。</w:t>
      </w:r>
    </w:p>
    <w:p>
      <w:r>
        <w:rPr>
          <w:rFonts w:ascii="等线(中文正文)" w:hAnsi="等线(中文正文)" w:cs="等线(中文正文)" w:eastAsia="等线(中文正文)"/>
          <w:b w:val="false"/>
          <w:i w:val="false"/>
          <w:sz w:val="20"/>
        </w:rPr>
        <w:t/>
      </w:r>
    </w:p>
    <w:p>
      <w:pPr>
        <w:pStyle w:val="ab"/>
      </w:pPr>
      <w:r>
        <w:t>发言人1 问：省外市场对公司业绩的重要性是什么？</w:t>
      </w:r>
    </w:p>
    <w:p>
      <w:r>
        <w:rPr>
          <w:rFonts w:ascii="等线(中文正文)" w:hAnsi="等线(中文正文)" w:cs="等线(中文正文)" w:eastAsia="等线(中文正文)"/>
          <w:b w:val="false"/>
          <w:i w:val="false"/>
          <w:sz w:val="20"/>
        </w:rPr>
        <w:t>发言人1 答：省外目前还不是公司的短期业绩核心，但有望成为长期第二增长曲线。2025年省外收入占比9%，相比上市早期5%左右已基本翻倍，不过绝对额占比仍不足10%。</w:t>
      </w:r>
    </w:p>
    <w:p>
      <w:r>
        <w:rPr>
          <w:rFonts w:ascii="等线(中文正文)" w:hAnsi="等线(中文正文)" w:cs="等线(中文正文)" w:eastAsia="等线(中文正文)"/>
          <w:b w:val="false"/>
          <w:i w:val="false"/>
          <w:sz w:val="20"/>
        </w:rPr>
        <w:t/>
      </w:r>
    </w:p>
    <w:p>
      <w:pPr>
        <w:pStyle w:val="ab"/>
      </w:pPr>
      <w:r>
        <w:t>发言人1 问：公司省外市场的发展策略是怎样的？公司如何实现渠道建设和管理的精细化运营？</w:t>
      </w:r>
    </w:p>
    <w:p>
      <w:r>
        <w:rPr>
          <w:rFonts w:ascii="等线(中文正文)" w:hAnsi="等线(中文正文)" w:cs="等线(中文正文)" w:eastAsia="等线(中文正文)"/>
          <w:b w:val="false"/>
          <w:i w:val="false"/>
          <w:sz w:val="20"/>
        </w:rPr>
        <w:t>发言人1 答：近年来，公司省外市场的发展策略从过去的借助大商进入市场转变为强化自身地级营销中心和组织下沉。产品端也有所调整，开始将省外市场作为产品验证和模式验证阶段的重点区域，虽然短期业绩贡献有限，但长期来看，公司正通过聚焦品牌、产品、区域、投入、战术、队伍六个方面进行重点布局，并加快地级营销中心的建设。具体区域上，公司重点围绕江苏进行两层扩张，即长三角地区（浙江、安徽和上海）以及山东、河南周边地区。在渠道端，公司今年的一大特点是团购渠道的深入发展。早期通过政务团购接触核心消费群体，国有品牌借此快速建立认知。随着市场变化，公司又向商务团购和婚喜宴场景拓展，并扩充了企业行业客户等多种消费场景。团队的优势在于渠道链路短，能直接触达核心客户，从而适合做品牌培育和价格管理，之后再通过流动渠道扩大覆盖，形成团购培育品牌、流通渠道承接放量的模式。</w:t>
      </w:r>
    </w:p>
    <w:p>
      <w:r>
        <w:rPr>
          <w:rFonts w:ascii="等线(中文正文)" w:hAnsi="等线(中文正文)" w:cs="等线(中文正文)" w:eastAsia="等线(中文正文)"/>
          <w:b w:val="false"/>
          <w:i w:val="false"/>
          <w:sz w:val="20"/>
        </w:rPr>
        <w:t/>
      </w:r>
    </w:p>
    <w:p>
      <w:pPr>
        <w:pStyle w:val="ab"/>
      </w:pPr>
      <w:r>
        <w:t>发言人1 问：公司如何通过组织架构改革提升市场反应速度和终端掌控力？</w:t>
      </w:r>
    </w:p>
    <w:p>
      <w:r>
        <w:rPr>
          <w:rFonts w:ascii="等线(中文正文)" w:hAnsi="等线(中文正文)" w:cs="等线(中文正文)" w:eastAsia="等线(中文正文)"/>
          <w:b w:val="false"/>
          <w:i w:val="false"/>
          <w:sz w:val="20"/>
        </w:rPr>
        <w:t>发言人1 答：为了支撑精细化运营，公司自2018年开始对组织架构进行扁平化改革，将省内营销架构从13个地市调整为6个大区，并设立70多个市县办事处，县级经营单元直接对接大区，减少管理层级。同时采取深度协销模式，如南京和淮安市场的一加一加N模式，实现厂家更深度参与经销商和终端运营。这种体系的优势体现在组织更扁平、市场反应更快、厂家对终端的掌控力更强以及费用和价盘管理更加清晰。</w:t>
      </w:r>
    </w:p>
    <w:p>
      <w:r>
        <w:rPr>
          <w:rFonts w:ascii="等线(中文正文)" w:hAnsi="等线(中文正文)" w:cs="等线(中文正文)" w:eastAsia="等线(中文正文)"/>
          <w:b w:val="false"/>
          <w:i w:val="false"/>
          <w:sz w:val="20"/>
        </w:rPr>
        <w:t/>
      </w:r>
    </w:p>
    <w:p>
      <w:pPr>
        <w:pStyle w:val="ab"/>
      </w:pPr>
      <w:r>
        <w:t>发言人1 问：公司如何通过事业部设置和组织架构调整推动未来发展？</w:t>
      </w:r>
    </w:p>
    <w:p>
      <w:r>
        <w:rPr>
          <w:rFonts w:ascii="等线(中文正文)" w:hAnsi="等线(中文正文)" w:cs="等线(中文正文)" w:eastAsia="等线(中文正文)"/>
          <w:b w:val="false"/>
          <w:i w:val="false"/>
          <w:sz w:val="20"/>
        </w:rPr>
        <w:t>发言人1 答：公司近年来持续深化组织架构改革，成立了多个事业部和部门，如V9事业部、省外营销部、国家新兴事业部、机器人事业部及高科销售公司等，进一步加大事业部与大区协同，并成立客户关系部、品牌传播管理部和数字化营销中心。公司正从单一的营销驱动转向品牌事业部加销售统筹、客户运营、品牌传播和数字营销的完善整合大营销体系，以支持未来精细化的份额竞争。</w:t>
      </w:r>
    </w:p>
    <w:p>
      <w:r>
        <w:rPr>
          <w:rFonts w:ascii="等线(中文正文)" w:hAnsi="等线(中文正文)" w:cs="等线(中文正文)" w:eastAsia="等线(中文正文)"/>
          <w:b w:val="false"/>
          <w:i w:val="false"/>
          <w:sz w:val="20"/>
        </w:rPr>
        <w:t/>
      </w:r>
    </w:p>
    <w:p>
      <w:pPr>
        <w:pStyle w:val="ab"/>
      </w:pPr>
      <w:r>
        <w:t>发言人1 问：对于当前公司的估值和未来发展怎么看？</w:t>
      </w:r>
    </w:p>
    <w:p>
      <w:r>
        <w:rPr>
          <w:rFonts w:ascii="等线(中文正文)" w:hAnsi="等线(中文正文)" w:cs="等线(中文正文)" w:eastAsia="等线(中文正文)"/>
          <w:b w:val="false"/>
          <w:i w:val="false"/>
          <w:sz w:val="20"/>
        </w:rPr>
        <w:t>发言人1 答：当前行业处于筑底期，公司估值更多基于基本面、业绩稳定性和合理估值。历史上，公司总市值长期徘徊在200亿左右，PE约为20倍。随着南京市场的成功突破和业务增长，公司在2020年至2021年达到市值和PE的高峰，之后因白酒行业需求放缓和预期下修，估值中枢下移，目前PE回落至上市以来较低水平，约为14到15倍。尽管当前估值反映了行业需求弱和利润短期下滑，但随着渠道库存企稳、价盘企稳以及利润增速企稳，公司估值有望得到修复。同时，公司在江苏省内的市场份额仍在持续提升，基本面并非单纯收缩逻辑。展望未来，如果省外样板市场得以形成，产品结构恢复，公司的盈利增长有望逐步恢复。</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2026-08-14T00:15:39Z</dcterms:created>
  <dc:creator>Apache POI</dc:creator>
</cp:coreProperties>
</file>