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藏格矿业 260811_导读</w:t>
      </w:r>
    </w:p>
    <w:p>
      <w:pPr>
        <w:pStyle w:val="a0"/>
        <w:jc w:val="center"/>
      </w:pPr>
      <w:r>
        <w:t>2026年08月13日 10:46</w:t>
      </w:r>
    </w:p>
    <w:p>
      <w:pPr>
        <w:pStyle w:val="a7"/>
      </w:pPr>
      <w:r>
        <w:t>关键词</w:t>
      </w:r>
    </w:p>
    <w:p>
      <w:r>
        <w:rPr>
          <w:rFonts w:ascii="等线(中文正文)" w:hAnsi="等线(中文正文)" w:cs="等线(中文正文)" w:eastAsia="等线(中文正文)"/>
          <w:b w:val="false"/>
          <w:i w:val="false"/>
          <w:sz w:val="20"/>
        </w:rPr>
        <w:t xml:space="preserve">藏格矿业 铜矿 钾肥 碳酸锂 成本最低 单吨利润 量增 国内矿山安全 锂价下跌 利润增长 资源规模 估值 产销量 马里措 毛利率 老挝 矿山 环评 产量 收入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藏格矿业当前基本面稳固，成本控制出色，利润丰厚，产量提升，且国内矿山安全表现优异。特别值得一提的是，尽管碳酸锂市场面临价格波动，这反而有利于加速资产注入和并购，为公司的长远发展带来利好。报告预测，凭借其多元化业务组合，包括智能铜矿、钾肥及碳酸锂等领域的深耕，藏格矿业能够维持稳定的增长态势。整体而言，报告强调了公司在当前市场环境下的显著竞争优势及增长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藏格矿业半年报解读：成本低、量增、国内矿山安全与碳酸锂优势</w:t>
      </w:r>
    </w:p>
    <w:p>
      <w:r>
        <w:rPr>
          <w:rFonts w:ascii="等线(中文正文)" w:hAnsi="等线(中文正文)" w:cs="等线(中文正文)" w:eastAsia="等线(中文正文)"/>
          <w:b w:val="false"/>
          <w:i w:val="false"/>
          <w:sz w:val="20"/>
        </w:rPr>
        <w:t>汇报者详细分析了藏格矿业的最新报告，指出公司具备成本最低、利润丰厚、产量快速增长、国内矿山安全周期长以及碳酸锂业务在价格下跌时加速资产注入的优势。基于这些理由，认为藏格矿业的合理估值应高于大多数矿业公司，建议给予20倍左右的估值。</w:t>
      </w:r>
    </w:p>
    <w:p>
      <w:r>
        <w:rPr>
          <w:rFonts w:ascii="等线(中文正文)" w:hAnsi="等线(中文正文)" w:cs="等线(中文正文)" w:eastAsia="等线(中文正文)"/>
          <w:b w:val="false"/>
          <w:i w:val="false"/>
          <w:sz w:val="20"/>
        </w:rPr>
        <w:t/>
      </w:r>
    </w:p>
    <w:p>
      <w:pPr>
        <w:pStyle w:val="ab"/>
        <w:numPr>
          <w:numId w:val="2"/>
        </w:numPr>
      </w:pPr>
      <w:r>
        <w:t>03:29 矿业公司资产结构与盈利预测分析</w:t>
      </w:r>
    </w:p>
    <w:p>
      <w:r>
        <w:rPr>
          <w:rFonts w:ascii="等线(中文正文)" w:hAnsi="等线(中文正文)" w:cs="等线(中文正文)" w:eastAsia="等线(中文正文)"/>
          <w:b w:val="false"/>
          <w:i w:val="false"/>
          <w:sz w:val="20"/>
        </w:rPr>
        <w:t>报告详细分析了矿业公司的发展历程、资产结构和盈利预测。公司从盐湖钾肥起家，通过资产重组进入资本市场，逐步发展成为涵盖钾肥、铜矿和锂资源的综合矿业平台。资产分为全资并表资产、核心参股运营资产和成长储备资产三类，分别由查尔汗钾肥、巨龙铜矿和老挝西藏盐湖项目构成，预计未来2-3年将有稳定增长。</w:t>
      </w:r>
    </w:p>
    <w:p>
      <w:r>
        <w:rPr>
          <w:rFonts w:ascii="等线(中文正文)" w:hAnsi="等线(中文正文)" w:cs="等线(中文正文)" w:eastAsia="等线(中文正文)"/>
          <w:b w:val="false"/>
          <w:i w:val="false"/>
          <w:sz w:val="20"/>
        </w:rPr>
        <w:t/>
      </w:r>
    </w:p>
    <w:p>
      <w:pPr>
        <w:pStyle w:val="ab"/>
        <w:numPr>
          <w:numId w:val="3"/>
        </w:numPr>
      </w:pPr>
      <w:r>
        <w:t>06:48 巨龙铜矿二期效益显著，推动公司业绩翻倍</w:t>
      </w:r>
    </w:p>
    <w:p>
      <w:r>
        <w:rPr>
          <w:rFonts w:ascii="等线(中文正文)" w:hAnsi="等线(中文正文)" w:cs="等线(中文正文)" w:eastAsia="等线(中文正文)"/>
          <w:b w:val="false"/>
          <w:i w:val="false"/>
          <w:sz w:val="20"/>
        </w:rPr>
        <w:t>巨龙铜矿位于西藏，是公司重要权益资产，二期项目于2026年1月正式投产，显著提升产能至35万吨/天，实现铜产量30-35万吨/年，上半年净利润达92亿元，其中公司确认投资收益28亿元，同比增加125%，成为业绩翻倍的主要动力。</w:t>
      </w:r>
    </w:p>
    <w:p>
      <w:r>
        <w:rPr>
          <w:rFonts w:ascii="等线(中文正文)" w:hAnsi="等线(中文正文)" w:cs="等线(中文正文)" w:eastAsia="等线(中文正文)"/>
          <w:b w:val="false"/>
          <w:i w:val="false"/>
          <w:sz w:val="20"/>
        </w:rPr>
        <w:t/>
      </w:r>
    </w:p>
    <w:p>
      <w:pPr>
        <w:pStyle w:val="ab"/>
        <w:numPr>
          <w:numId w:val="4"/>
        </w:numPr>
      </w:pPr>
      <w:r>
        <w:t>08:55 铜矿与钾肥行业盈利预测分析</w:t>
      </w:r>
    </w:p>
    <w:p>
      <w:r>
        <w:rPr>
          <w:rFonts w:ascii="等线(中文正文)" w:hAnsi="等线(中文正文)" w:cs="等线(中文正文)" w:eastAsia="等线(中文正文)"/>
          <w:b w:val="false"/>
          <w:i w:val="false"/>
          <w:sz w:val="20"/>
        </w:rPr>
        <w:t>对话围绕铜矿和钾肥行业的盈利预测展开，讨论了铜矿新增供给有限及需求支撑，预计26至28年含税总价为11万元左右，巨龙铜业权益产量及成本下降情况，以及钾肥业务的稳定现金流和资源开采权扩展。强调二期项目已投产，对利润贡献确定性高，钾肥产量、销量和售价稳定，毛利率提升，经营重点为稳产、提质量和降本。</w:t>
      </w:r>
    </w:p>
    <w:p>
      <w:r>
        <w:rPr>
          <w:rFonts w:ascii="等线(中文正文)" w:hAnsi="等线(中文正文)" w:cs="等线(中文正文)" w:eastAsia="等线(中文正文)"/>
          <w:b w:val="false"/>
          <w:i w:val="false"/>
          <w:sz w:val="20"/>
        </w:rPr>
        <w:t/>
      </w:r>
    </w:p>
    <w:p>
      <w:pPr>
        <w:pStyle w:val="ab"/>
        <w:numPr>
          <w:numId w:val="5"/>
        </w:numPr>
      </w:pPr>
      <w:r>
        <w:t>11:11 老挝甲银矿项目对中长期业务增量的影响分析</w:t>
      </w:r>
    </w:p>
    <w:p>
      <w:r>
        <w:rPr>
          <w:rFonts w:ascii="等线(中文正文)" w:hAnsi="等线(中文正文)" w:cs="等线(中文正文)" w:eastAsia="等线(中文正文)"/>
          <w:b w:val="false"/>
          <w:i w:val="false"/>
          <w:sz w:val="20"/>
        </w:rPr>
        <w:t>对话讨论了老挝甲银矿项目对公司中长期增量的贡献，包括两个项目区的资源量、规划产能及预期收益。预计26至28年销量逐步增加，收入和毛利润也随之提升，毛利率保持稳定。老挝项目的权益和建设进度将决定更长周期的成长上限，一旦实质建设和投产提前，将带来盈利预测的新增量。</w:t>
      </w:r>
    </w:p>
    <w:p>
      <w:r>
        <w:rPr>
          <w:rFonts w:ascii="等线(中文正文)" w:hAnsi="等线(中文正文)" w:cs="等线(中文正文)" w:eastAsia="等线(中文正文)"/>
          <w:b w:val="false"/>
          <w:i w:val="false"/>
          <w:sz w:val="20"/>
        </w:rPr>
        <w:t/>
      </w:r>
    </w:p>
    <w:p>
      <w:pPr>
        <w:pStyle w:val="ab"/>
        <w:numPr>
          <w:numId w:val="6"/>
        </w:numPr>
      </w:pPr>
      <w:r>
        <w:t>13:03 公司锂盐业务发展与资产布局分析</w:t>
      </w:r>
    </w:p>
    <w:p>
      <w:r>
        <w:rPr>
          <w:rFonts w:ascii="等线(中文正文)" w:hAnsi="等线(中文正文)" w:cs="等线(中文正文)" w:eastAsia="等线(中文正文)"/>
          <w:b w:val="false"/>
          <w:i w:val="false"/>
          <w:sz w:val="20"/>
        </w:rPr>
        <w:t>公司锂盐业务分为三个梯队，第一梯队为长汉盐湖，第二梯队为马里措，第三梯队为国内矿业旗下的杰德查卡和龙木错。公司拥有1万吨/年电池级碳酸锂产能，上半年产量5400吨，销量3990吨，毛利率71%，同比提升40个百分点。马里措项目一期规划5万吨碳酸锂产能，预计26年总销量1.5万吨，27年达到5万吨。公司持有马里措27%股权，预计28年持股比例提升至50%以上。国内矿业资产包括390万吨碳酸锂当量资源量，杰德查卡首条产线试运行，龙木错规划年产7万吨碳酸锂。</w:t>
      </w:r>
    </w:p>
    <w:p>
      <w:r>
        <w:rPr>
          <w:rFonts w:ascii="等线(中文正文)" w:hAnsi="等线(中文正文)" w:cs="等线(中文正文)" w:eastAsia="等线(中文正文)"/>
          <w:b w:val="false"/>
          <w:i w:val="false"/>
          <w:sz w:val="20"/>
        </w:rPr>
        <w:t/>
      </w:r>
    </w:p>
    <w:p>
      <w:pPr>
        <w:pStyle w:val="ab"/>
        <w:numPr>
          <w:numId w:val="7"/>
        </w:numPr>
      </w:pPr>
      <w:r>
        <w:t>15:55 2026-2028年碳酸锂业务收入与成本预测</w:t>
      </w:r>
    </w:p>
    <w:p>
      <w:r>
        <w:rPr>
          <w:rFonts w:ascii="等线(中文正文)" w:hAnsi="等线(中文正文)" w:cs="等线(中文正文)" w:eastAsia="等线(中文正文)"/>
          <w:b w:val="false"/>
          <w:i w:val="false"/>
          <w:sz w:val="20"/>
        </w:rPr>
        <w:t>2026至2028年间，碳酸锂业务预计销量从1.1万吨增至6.6万吨，收入从15亿元跃升至88亿元，毛利润从9亿元增至63亿元。成本方面，26至27年保持4.8万元/吨，28年因马里措并表降至3.66万元/吨。投资收益预计2028年为8亿元，主要来自广东矿业。</w:t>
      </w:r>
    </w:p>
    <w:p>
      <w:r>
        <w:rPr>
          <w:rFonts w:ascii="等线(中文正文)" w:hAnsi="等线(中文正文)" w:cs="等线(中文正文)" w:eastAsia="等线(中文正文)"/>
          <w:b w:val="false"/>
          <w:i w:val="false"/>
          <w:sz w:val="20"/>
        </w:rPr>
        <w:t/>
      </w:r>
    </w:p>
    <w:p>
      <w:pPr>
        <w:pStyle w:val="ab"/>
        <w:numPr>
          <w:numId w:val="8"/>
        </w:numPr>
      </w:pPr>
      <w:r>
        <w:t>17:05 增科工业盈利预测与增长曲线分析</w:t>
      </w:r>
    </w:p>
    <w:p>
      <w:r>
        <w:rPr>
          <w:rFonts w:ascii="等线(中文正文)" w:hAnsi="等线(中文正文)" w:cs="等线(中文正文)" w:eastAsia="等线(中文正文)"/>
          <w:b w:val="false"/>
          <w:i w:val="false"/>
          <w:sz w:val="20"/>
        </w:rPr>
        <w:t>报告关注了增科工业的盈利预测，详细分析了26至28年公司营业收入和净利润的增长情况，指出智能铜矿、马米素和国能矿业、长沙钾肥等项目对公司利润增长的贡献，强调了同、甲、乙三条增长曲线的接续作用，以及聚工二期放量、马米措达产和国内矿业资源转化对中期和长期发展的关键影响。</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他对藏格矿业的最新情况进行了全面汇报，强调尽管有色市场近期回调较多，但藏格矿业因良好的基本面和充足的流动性而拥有投资价值，当前的市场下跌为投资者提供了买入良机。他指出，藏格矿业成本最低，单吨利润稳定，并预期随着TCRC的下降和金价反弹，单吨利润将进一步增长。他详细分析了藏格矿业的四大推荐理由：成本优势、产量增长、国内矿山安全稳定以及碳酸锂业务的潜力，强调公司已从单一的盐湖资源运营商转型为综合矿业平台，拥有良好的盈利预测和稳定增长潜力。最后，他感谢投资者的关注，并邀请投资者使用进门APP获取更多专业支持和投研内容，预祝投资者工作顺利。</w:t>
      </w:r>
    </w:p>
    <w:p>
      <w:r>
        <w:rPr>
          <w:rFonts w:ascii="等线(中文正文)" w:hAnsi="等线(中文正文)" w:cs="等线(中文正文)" w:eastAsia="等线(中文正文)"/>
          <w:b w:val="false"/>
          <w:i w:val="false"/>
          <w:sz w:val="20"/>
        </w:rPr>
        <w:t/>
      </w:r>
    </w:p>
    <w:p>
      <w:pPr>
        <w:pStyle w:val="a7"/>
      </w:pPr>
      <w:r>
        <w:t>要点回顾</w:t>
      </w:r>
    </w:p>
    <w:p>
      <w:pPr>
        <w:pStyle w:val="ab"/>
      </w:pPr>
      <w:r>
        <w:t>藏格矿业最新的报告中，为何核心推荐价格有四个理由？</w:t>
      </w:r>
    </w:p>
    <w:p>
      <w:r>
        <w:rPr>
          <w:rFonts w:ascii="等线(中文正文)" w:hAnsi="等线(中文正文)" w:cs="等线(中文正文)" w:eastAsia="等线(中文正文)"/>
          <w:b w:val="false"/>
          <w:i w:val="false"/>
          <w:sz w:val="20"/>
        </w:rPr>
        <w:t>发言人1：第一个理由是成本最低，公司的单增利润在二季度保持在7万块钱左右，随着TCRC下降和金价反弹，预计单吨利润将持续增长。第二个理由是产量增加，去年矿产量为10万吨，今年预计达到32-31万吨，并在未来几年内有望翻倍。第三个理由是国内矿山具有较长的安全贴现时间，相比海外矿山，国内矿山在估值上更具有确定性和优势。第四个理由是碳酸锂业务的影响，尽管市场存在对资产注入预期的担忧，但实际进程可能比想象中更为顺利，锂价下跌反而有利于加速资产装入和并购进程，对整体杠杆而言是利好而非利空。</w:t>
      </w:r>
    </w:p>
    <w:p>
      <w:r>
        <w:rPr>
          <w:rFonts w:ascii="等线(中文正文)" w:hAnsi="等线(中文正文)" w:cs="等线(中文正文)" w:eastAsia="等线(中文正文)"/>
          <w:b w:val="false"/>
          <w:i w:val="false"/>
          <w:sz w:val="20"/>
        </w:rPr>
        <w:t/>
      </w:r>
    </w:p>
    <w:p>
      <w:pPr>
        <w:pStyle w:val="ab"/>
      </w:pPr>
      <w:r>
        <w:t>藏格矿业的业务发展逻辑具体是什么？藏格矿业的发展历程是怎样的？</w:t>
      </w:r>
    </w:p>
    <w:p>
      <w:r>
        <w:rPr>
          <w:rFonts w:ascii="等线(中文正文)" w:hAnsi="等线(中文正文)" w:cs="等线(中文正文)" w:eastAsia="等线(中文正文)"/>
          <w:b w:val="false"/>
          <w:i w:val="false"/>
          <w:sz w:val="20"/>
        </w:rPr>
        <w:t>发言人1：公司的核心逻辑体现在三个方面：首先，金融铜矿二期投产后将成为未来2-3年最确定的增长利润来源；其次，察尔汗钾肥业务提供稳定的现金流和较强的成本优势；最后，马米特和国能矿业将承接中长期锂资源的成长，公司正逐步从单一盐湖资源运营商转型为覆盖钾盐和锂资源的综合矿业平台。公司起源于察尔汗盐湖钾肥业务，历经多年发展，通过重大资产重组进入资本市场，形成以银河钾肥为核心资产。2017年成立三个锂业公司，业务扩展至阿里综合应用，2019年取得金融行业37%股权并保留31%，由紫金主导建设运营。此后，公司通过产业基金布局马里做和柏林矿业，推进老挝产业矿项目，最终在2025年紫金成为控股股东。至2020年1月，巨龙二期投产，至此公司构建了以察尔汗钾肥为基础，加上巨龙铜矿的利润弹性以及西藏盐湖和老挝钾盐矿的后续成长资产组合。</w:t>
      </w:r>
    </w:p>
    <w:p>
      <w:r>
        <w:rPr>
          <w:rFonts w:ascii="等线(中文正文)" w:hAnsi="等线(中文正文)" w:cs="等线(中文正文)" w:eastAsia="等线(中文正文)"/>
          <w:b w:val="false"/>
          <w:i w:val="false"/>
          <w:sz w:val="20"/>
        </w:rPr>
        <w:t/>
      </w:r>
    </w:p>
    <w:p>
      <w:pPr>
        <w:pStyle w:val="ab"/>
      </w:pPr>
      <w:r>
        <w:t>紫金国际在公司中持股比例是多少，以及其控制链条指向何处？公司的资产结构可以分为哪几类？</w:t>
      </w:r>
    </w:p>
    <w:p>
      <w:r>
        <w:rPr>
          <w:rFonts w:ascii="等线(中文正文)" w:hAnsi="等线(中文正文)" w:cs="等线(中文正文)" w:eastAsia="等线(中文正文)"/>
          <w:b w:val="false"/>
          <w:i w:val="false"/>
          <w:sz w:val="20"/>
        </w:rPr>
        <w:t>发言人1：紫金国际持有公司26%的股权，是公司的控股股东。控制链条最终指向了上杭县财政局。公司资产分为三类：第一类是全资并表资产，包括藏格钾肥和藏格乙液，提供主营收入利润和现金流；第二类是核心参股运营资产，如龙木错拉和织布拉三个铜矿项目，公司持股31%，按权益法分享投资收益并获取现金分红；第三类是成长储备资产，包括华尔外线和斯坦尼县两座钾盐矿项目，由公司持股70%，目前还在完善权证和工程阶段，预计到2026年至2027年权益法核算后会被并表。</w:t>
      </w:r>
    </w:p>
    <w:p>
      <w:r>
        <w:rPr>
          <w:rFonts w:ascii="等线(中文正文)" w:hAnsi="等线(中文正文)" w:cs="等线(中文正文)" w:eastAsia="等线(中文正文)"/>
          <w:b w:val="false"/>
          <w:i w:val="false"/>
          <w:sz w:val="20"/>
        </w:rPr>
        <w:t/>
      </w:r>
    </w:p>
    <w:p>
      <w:pPr>
        <w:pStyle w:val="ab"/>
      </w:pPr>
      <w:r>
        <w:t>巨龙铜矿在公司资产中的地位如何？未来几年的利润增长主要来自哪里？</w:t>
      </w:r>
    </w:p>
    <w:p>
      <w:r>
        <w:rPr>
          <w:rFonts w:ascii="等线(中文正文)" w:hAnsi="等线(中文正文)" w:cs="等线(中文正文)" w:eastAsia="等线(中文正文)"/>
          <w:b w:val="false"/>
          <w:i w:val="false"/>
          <w:sz w:val="20"/>
        </w:rPr>
        <w:t>发言人1：巨龙铜矿是公司最重要的权益资产，也是未来几年利润增长最清晰的来源。矿区位于西藏拉萨市墨竹工卡县，拥有丰富的铜金属资源量，并已形成大型露天采选体系。随着一期、二期和远期三期规划的推进，产能将持续扩大。</w:t>
      </w:r>
    </w:p>
    <w:p>
      <w:r>
        <w:rPr>
          <w:rFonts w:ascii="等线(中文正文)" w:hAnsi="等线(中文正文)" w:cs="等线(中文正文)" w:eastAsia="等线(中文正文)"/>
          <w:b w:val="false"/>
          <w:i w:val="false"/>
          <w:sz w:val="20"/>
        </w:rPr>
        <w:t/>
      </w:r>
    </w:p>
    <w:p>
      <w:pPr>
        <w:pStyle w:val="ab"/>
      </w:pPr>
      <w:r>
        <w:t>巨龙铜矿的产能建设情况如何？</w:t>
      </w:r>
    </w:p>
    <w:p>
      <w:r>
        <w:rPr>
          <w:rFonts w:ascii="等线(中文正文)" w:hAnsi="等线(中文正文)" w:cs="等线(中文正文)" w:eastAsia="等线(中文正文)"/>
          <w:b w:val="false"/>
          <w:i w:val="false"/>
          <w:sz w:val="20"/>
        </w:rPr>
        <w:t>发言人1：巨龙铜矿的产能建设分为三个阶段，其中一期已于2021年12月投产，年采选矿石能力为4500万吨；二期于2026年1月正式投产，新增20万吨每日采选规模，总处理能力提升至35万吨每日，折合矿石处理能力达1亿吨，年产铜30到35万吨。三期正在规划审批中，远期矿石产量可望达到2亿吨，年产铜60万吨。</w:t>
      </w:r>
    </w:p>
    <w:p>
      <w:r>
        <w:rPr>
          <w:rFonts w:ascii="等线(中文正文)" w:hAnsi="等线(中文正文)" w:cs="等线(中文正文)" w:eastAsia="等线(中文正文)"/>
          <w:b w:val="false"/>
          <w:i w:val="false"/>
          <w:sz w:val="20"/>
        </w:rPr>
        <w:t/>
      </w:r>
    </w:p>
    <w:p>
      <w:pPr>
        <w:pStyle w:val="ab"/>
      </w:pPr>
      <w:r>
        <w:t>巨龙铜矿近期的产量、销量及净利润情况怎样？</w:t>
      </w:r>
    </w:p>
    <w:p>
      <w:r>
        <w:rPr>
          <w:rFonts w:ascii="等线(中文正文)" w:hAnsi="等线(中文正文)" w:cs="等线(中文正文)" w:eastAsia="等线(中文正文)"/>
          <w:b w:val="false"/>
          <w:i w:val="false"/>
          <w:sz w:val="20"/>
        </w:rPr>
        <w:t>发言人1：根据最新周报，聚龙同业实现了13.4万吨的总产量和13.35万吨的销量，净利润达到92亿元。公司确认的投资收益为28亿元，同比增长125%，占公司上半年净利润的78%。</w:t>
      </w:r>
    </w:p>
    <w:p>
      <w:r>
        <w:rPr>
          <w:rFonts w:ascii="等线(中文正文)" w:hAnsi="等线(中文正文)" w:cs="等线(中文正文)" w:eastAsia="等线(中文正文)"/>
          <w:b w:val="false"/>
          <w:i w:val="false"/>
          <w:sz w:val="20"/>
        </w:rPr>
        <w:t/>
      </w:r>
    </w:p>
    <w:p>
      <w:pPr>
        <w:pStyle w:val="ab"/>
      </w:pPr>
      <w:r>
        <w:t>对于未来巨龙铜矿的投资收益预期如何？</w:t>
      </w:r>
    </w:p>
    <w:p>
      <w:r>
        <w:rPr>
          <w:rFonts w:ascii="等线(中文正文)" w:hAnsi="等线(中文正文)" w:cs="等线(中文正文)" w:eastAsia="等线(中文正文)"/>
          <w:b w:val="false"/>
          <w:i w:val="false"/>
          <w:sz w:val="20"/>
        </w:rPr>
        <w:t>发言人1：考虑到全球铜矿新增供给有限及市场需求支撑，预计到2026年至2028年，巨龙铜矿的含税总价保守假设为每吨11万元左右。假设巨龙铜矿在此期间的总销量分别为30、34和35万吨，按照31%的权益比例，预计公司权益产量分别为9、10和11万吨，且随着二期投产带来的规模效应和成本下降，单位完全成本将显著降低，从而带来更高的投资收益预期。</w:t>
      </w:r>
    </w:p>
    <w:p>
      <w:r>
        <w:rPr>
          <w:rFonts w:ascii="等线(中文正文)" w:hAnsi="等线(中文正文)" w:cs="等线(中文正文)" w:eastAsia="等线(中文正文)"/>
          <w:b w:val="false"/>
          <w:i w:val="false"/>
          <w:sz w:val="20"/>
        </w:rPr>
        <w:t/>
      </w:r>
    </w:p>
    <w:p>
      <w:pPr>
        <w:pStyle w:val="ab"/>
      </w:pPr>
      <w:r>
        <w:t>藏格钾肥业务的经营状况如何？</w:t>
      </w:r>
    </w:p>
    <w:p>
      <w:r>
        <w:rPr>
          <w:rFonts w:ascii="等线(中文正文)" w:hAnsi="等线(中文正文)" w:cs="等线(中文正文)" w:eastAsia="等线(中文正文)"/>
          <w:b w:val="false"/>
          <w:i w:val="false"/>
          <w:sz w:val="20"/>
        </w:rPr>
        <w:t>发言人1：藏格钾肥是公司经营时间最长、现金流最稳定的资产。截至当前，氯化钾设计产能为每年120万吨，矿区氯化钾资源量为2300万吨。2021年实现51万吨氯化钾产量，50.66万吨销量，平均含税售价3055元每吨，吨销售成本976元，毛利率65%，量价平稳体现了该业务的防守属性。2026年的经营重点仍是百万吨级稳产，提升产品质量和物流采购降本。</w:t>
      </w:r>
    </w:p>
    <w:p>
      <w:r>
        <w:rPr>
          <w:rFonts w:ascii="等线(中文正文)" w:hAnsi="等线(中文正文)" w:cs="等线(中文正文)" w:eastAsia="等线(中文正文)"/>
          <w:b w:val="false"/>
          <w:i w:val="false"/>
          <w:sz w:val="20"/>
        </w:rPr>
        <w:t/>
      </w:r>
    </w:p>
    <w:p>
      <w:pPr>
        <w:pStyle w:val="ab"/>
      </w:pPr>
      <w:r>
        <w:t>公司中长期增量主要来自哪些项目？</w:t>
      </w:r>
    </w:p>
    <w:p>
      <w:r>
        <w:rPr>
          <w:rFonts w:ascii="等线(中文正文)" w:hAnsi="等线(中文正文)" w:cs="等线(中文正文)" w:eastAsia="等线(中文正文)"/>
          <w:b w:val="false"/>
          <w:i w:val="false"/>
          <w:sz w:val="20"/>
        </w:rPr>
        <w:t>发言人1：公司中长期增量主要来自于在老挝的两个项目，分别是持有巴尔县和赛卡尼县两座项目的70%权益，以及老挝甲银矿项目的氯化钾资源开发。其中，老挝甲银矿项目拥有158平方公里的储量证范围，备案的氯化钾资源量达到99.84亿吨，并规划了年产200万吨钾肥的目标，分两期实施，每期100万吨。</w:t>
      </w:r>
    </w:p>
    <w:p>
      <w:r>
        <w:rPr>
          <w:rFonts w:ascii="等线(中文正文)" w:hAnsi="等线(中文正文)" w:cs="等线(中文正文)" w:eastAsia="等线(中文正文)"/>
          <w:b w:val="false"/>
          <w:i w:val="false"/>
          <w:sz w:val="20"/>
        </w:rPr>
        <w:t/>
      </w:r>
    </w:p>
    <w:p>
      <w:pPr>
        <w:pStyle w:val="ab"/>
      </w:pPr>
      <w:r>
        <w:t>假业务未来几年的预测情况如何？对于假业务的核心判断点有哪些？</w:t>
      </w:r>
    </w:p>
    <w:p>
      <w:r>
        <w:rPr>
          <w:rFonts w:ascii="等线(中文正文)" w:hAnsi="等线(中文正文)" w:cs="等线(中文正文)" w:eastAsia="等线(中文正文)"/>
          <w:b w:val="false"/>
          <w:i w:val="false"/>
          <w:sz w:val="20"/>
        </w:rPr>
        <w:t>发言人1：预计26到28年氯化钾含税售价为3082元每吨，销量分别为104万吨、110万吨和120万吨，单位成本为962元每吨，对应收入分别为28亿元、30亿元、31亿元和34亿元，毛利润分别为19亿元、22亿元和22亿元，毛利率维持在66%左右。26年收入相较于25年略有回落，主要原因是前期库存释放后销量回归正常；27到28年则因产量逐步爬升至设计产能而有所提升。核心判断点有两个层面，一是查看未来三年价格中枢和成本纪律的稳定性；二是关注老挝项目的权证可研以及建设进度，这将决定更长周期的成长上限。</w:t>
      </w:r>
    </w:p>
    <w:p>
      <w:r>
        <w:rPr>
          <w:rFonts w:ascii="等线(中文正文)" w:hAnsi="等线(中文正文)" w:cs="等线(中文正文)" w:eastAsia="等线(中文正文)"/>
          <w:b w:val="false"/>
          <w:i w:val="false"/>
          <w:sz w:val="20"/>
        </w:rPr>
        <w:t/>
      </w:r>
    </w:p>
    <w:p>
      <w:pPr>
        <w:pStyle w:val="ab"/>
      </w:pPr>
      <w:r>
        <w:t>甲乙乙业务的资产情况及盈利能力如何？</w:t>
      </w:r>
    </w:p>
    <w:p>
      <w:r>
        <w:rPr>
          <w:rFonts w:ascii="等线(中文正文)" w:hAnsi="等线(中文正文)" w:cs="等线(中文正文)" w:eastAsia="等线(中文正文)"/>
          <w:b w:val="false"/>
          <w:i w:val="false"/>
          <w:sz w:val="20"/>
        </w:rPr>
        <w:t>发言人1：公司资产可分为三个梯队，第一梯队为已生产的察尔汗盐湖，第二梯队为试生产的马里措，第三梯队是国内矿业旗下的项目。其中，马里措近期最重要的增量项目是位于西藏阿里地区的改造线，现已取得相关证件并完成联动调试进入试生产阶段，预计26年至28年将有显著的产能爬坡。</w:t>
      </w:r>
    </w:p>
    <w:p>
      <w:r>
        <w:rPr>
          <w:rFonts w:ascii="等线(中文正文)" w:hAnsi="等线(中文正文)" w:cs="等线(中文正文)" w:eastAsia="等线(中文正文)"/>
          <w:b w:val="false"/>
          <w:i w:val="false"/>
          <w:sz w:val="20"/>
        </w:rPr>
        <w:t/>
      </w:r>
    </w:p>
    <w:p>
      <w:pPr>
        <w:pStyle w:val="ab"/>
      </w:pPr>
      <w:r>
        <w:t>蚂蚁措项目的进展及对公司财务贡献如何？</w:t>
      </w:r>
    </w:p>
    <w:p>
      <w:r>
        <w:rPr>
          <w:rFonts w:ascii="等线(中文正文)" w:hAnsi="等线(中文正文)" w:cs="等线(中文正文)" w:eastAsia="等线(中文正文)"/>
          <w:b w:val="false"/>
          <w:i w:val="false"/>
          <w:sz w:val="20"/>
        </w:rPr>
        <w:t>发言人1：蚂蚁措持有27%股权，目前该项目利润按权益法计入投资收益。假设马里特26年总销量1.5万吨，27年达到5万吨，预计公司在28年并表销量5万吨后，会显著改变报表结构，从26到27年的投资收益贡献转变为28年开始贡献主营和毛利。</w:t>
      </w:r>
    </w:p>
    <w:p>
      <w:r>
        <w:rPr>
          <w:rFonts w:ascii="等线(中文正文)" w:hAnsi="等线(中文正文)" w:cs="等线(中文正文)" w:eastAsia="等线(中文正文)"/>
          <w:b w:val="false"/>
          <w:i w:val="false"/>
          <w:sz w:val="20"/>
        </w:rPr>
        <w:t/>
      </w:r>
    </w:p>
    <w:p>
      <w:pPr>
        <w:pStyle w:val="ab"/>
      </w:pPr>
      <w:r>
        <w:t>国内矿业的资源储备及规划情况如何？</w:t>
      </w:r>
    </w:p>
    <w:p>
      <w:r>
        <w:rPr>
          <w:rFonts w:ascii="等线(中文正文)" w:hAnsi="等线(中文正文)" w:cs="等线(中文正文)" w:eastAsia="等线(中文正文)"/>
          <w:b w:val="false"/>
          <w:i w:val="false"/>
          <w:sz w:val="20"/>
        </w:rPr>
        <w:t>发言人1：国内矿业穿透持有21%股权，资产包括捷德查卡和罗布错两个盐湖，合计拥有390万吨碳酸锂当量的资源量，以及氯化钾资源量2800万吨。龙木错项目规划年产7万吨碳酸锂和2.5万吨硼砂，相关建设审批环节正在进行中。</w:t>
      </w:r>
    </w:p>
    <w:p>
      <w:r>
        <w:rPr>
          <w:rFonts w:ascii="等线(中文正文)" w:hAnsi="等线(中文正文)" w:cs="等线(中文正文)" w:eastAsia="等线(中文正文)"/>
          <w:b w:val="false"/>
          <w:i w:val="false"/>
          <w:sz w:val="20"/>
        </w:rPr>
        <w:t/>
      </w:r>
    </w:p>
    <w:p>
      <w:pPr>
        <w:pStyle w:val="ab"/>
      </w:pPr>
      <w:r>
        <w:t>公司整体业务的预测情况是什么样的？</w:t>
      </w:r>
    </w:p>
    <w:p>
      <w:r>
        <w:rPr>
          <w:rFonts w:ascii="等线(中文正文)" w:hAnsi="等线(中文正文)" w:cs="等线(中文正文)" w:eastAsia="等线(中文正文)"/>
          <w:b w:val="false"/>
          <w:i w:val="false"/>
          <w:sz w:val="20"/>
        </w:rPr>
        <w:t>发言人1：预计26到28年公司并表口径的碳酸锂销量分别为1.1万吨、1.6万吨和6.6万吨，单位成本保持相对稳定。主营业务收入将从2027年的15亿元增长至2028年的88亿元，毛利润相应提升。此外，参股项目的投资收益也将随着马里措并表等因素有所增长，对公司整体利润产生积极影响。</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2026-08-13T02:55:16Z</dcterms:created>
  <dc:creator>Apache POI</dc:creator>
</cp:coreProperties>
</file>