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鹏鼎控股中报交流 260812_导读</w:t>
      </w:r>
    </w:p>
    <w:p>
      <w:pPr>
        <w:pStyle w:val="a0"/>
        <w:jc w:val="center"/>
      </w:pPr>
      <w:r>
        <w:t>2026年08月13日 10:46</w:t>
      </w:r>
    </w:p>
    <w:p>
      <w:pPr>
        <w:pStyle w:val="a7"/>
      </w:pPr>
      <w:r>
        <w:t>关键词</w:t>
      </w:r>
    </w:p>
    <w:p>
      <w:r>
        <w:rPr>
          <w:rFonts w:ascii="等线(中文正文)" w:hAnsi="等线(中文正文)" w:cs="等线(中文正文)" w:eastAsia="等线(中文正文)"/>
          <w:b w:val="false"/>
          <w:i w:val="false"/>
          <w:sz w:val="20"/>
        </w:rPr>
        <w:t xml:space="preserve">鹏鼎控股 AI服务器 高速光模块 毛利率 研发投入 应收账款周转 存货周转 消费电子 汽车版 厂房建设 HDI 电镀线 旺季 谨慎乐观 成本控制 运营效率 良率 折叠机 ASP 软板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鹏鼎控股的领导和董事会秘书在讨论中概述了公司2026年半年报的业绩亮点，着重强调了AI数据中心基建和高速通信网络对算力需求增长的影响，以及PCB产业链上游原材料价格上涨对消费终端需求的挑战。面对这些挑战，公司采取积极措施，包括调整战略、优化产品结构、提升综合毛利率、深化与全球头部客户的合作以及加大研发投入，成功实现了营业收入和归母净利润的同比增长。尽管面临汇率波动和原材料成本上升的压力，公司通过优化成本控制和提高运营效率，有效应对。未来，公司将持续推进新产能建设，加强技术开发，把握AI产业发展机遇，确保业绩持续增长。在对话中，投资者就产品线扩展、产能扩张计划、研发投入、毛利率走势及市场前景提出了问题，公司领导层均予以了详尽回应。</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鹏鼎控股2026年半年报业绩交流会概览</w:t>
      </w:r>
    </w:p>
    <w:p>
      <w:r>
        <w:rPr>
          <w:rFonts w:ascii="等线(中文正文)" w:hAnsi="等线(中文正文)" w:cs="等线(中文正文)" w:eastAsia="等线(中文正文)"/>
          <w:b w:val="false"/>
          <w:i w:val="false"/>
          <w:sz w:val="20"/>
        </w:rPr>
        <w:t>鹏鼎控股2026年上半年实现营收172.17亿元，同比增长5.14%，归母净利润12.84亿元，同比增长4.11%。公司聚焦AI服务器和高速光模块业务，研发投入增加，资本开支64亿。汇率波动和汇兑损失影响净利润，但主营业务盈利能力亮眼，AI服务器和高速光模块业务营收增长显著，毛利率达37.42%。未来产能将逐步释放，支持业绩持续增长。</w:t>
      </w:r>
    </w:p>
    <w:p>
      <w:r>
        <w:rPr>
          <w:rFonts w:ascii="等线(中文正文)" w:hAnsi="等线(中文正文)" w:cs="等线(中文正文)" w:eastAsia="等线(中文正文)"/>
          <w:b w:val="false"/>
          <w:i w:val="false"/>
          <w:sz w:val="20"/>
        </w:rPr>
        <w:t/>
      </w:r>
    </w:p>
    <w:p>
      <w:pPr>
        <w:pStyle w:val="ab"/>
        <w:numPr>
          <w:numId w:val="2"/>
        </w:numPr>
      </w:pPr>
      <w:r>
        <w:t>06:31 公司财务健康与业务增长展望</w:t>
      </w:r>
    </w:p>
    <w:p>
      <w:r>
        <w:rPr>
          <w:rFonts w:ascii="等线(中文正文)" w:hAnsi="等线(中文正文)" w:cs="等线(中文正文)" w:eastAsia="等线(中文正文)"/>
          <w:b w:val="false"/>
          <w:i w:val="false"/>
          <w:sz w:val="20"/>
        </w:rPr>
        <w:t>对话围绕公司财务稳健性及下半年业务增长趋势展开，强调资产负债率低、应收账款与存货周转效率高，预计端测产品与AI算力相关客户需求将显著提升，推动公司进入快速增长期。</w:t>
      </w:r>
    </w:p>
    <w:p>
      <w:r>
        <w:rPr>
          <w:rFonts w:ascii="等线(中文正文)" w:hAnsi="等线(中文正文)" w:cs="等线(中文正文)" w:eastAsia="等线(中文正文)"/>
          <w:b w:val="false"/>
          <w:i w:val="false"/>
          <w:sz w:val="20"/>
        </w:rPr>
        <w:t/>
      </w:r>
    </w:p>
    <w:p>
      <w:pPr>
        <w:pStyle w:val="ab"/>
        <w:numPr>
          <w:numId w:val="3"/>
        </w:numPr>
      </w:pPr>
      <w:r>
        <w:t>08:15 公司研发投入与毛利率提升分析</w:t>
      </w:r>
    </w:p>
    <w:p>
      <w:r>
        <w:rPr>
          <w:rFonts w:ascii="等线(中文正文)" w:hAnsi="等线(中文正文)" w:cs="等线(中文正文)" w:eastAsia="等线(中文正文)"/>
          <w:b w:val="false"/>
          <w:i w:val="false"/>
          <w:sz w:val="20"/>
        </w:rPr>
        <w:t>对话围绕公司业绩中的汇兑和研发投入增加展开，指出研发投入主要聚焦于服务器、汽车及端测产品等领域的技术开发，以应对技术趋势并保持行业领先地位。预计未来研发投入的绝对值将持续增长，但占营收比例将因营收扩大而下降。关于毛利率，虽然未披露具体数值，但提及汽车服务器板块盈利能力较强，整体毛利率有提升。</w:t>
      </w:r>
    </w:p>
    <w:p>
      <w:r>
        <w:rPr>
          <w:rFonts w:ascii="等线(中文正文)" w:hAnsi="等线(中文正文)" w:cs="等线(中文正文)" w:eastAsia="等线(中文正文)"/>
          <w:b w:val="false"/>
          <w:i w:val="false"/>
          <w:sz w:val="20"/>
        </w:rPr>
        <w:t/>
      </w:r>
    </w:p>
    <w:p>
      <w:pPr>
        <w:pStyle w:val="ab"/>
        <w:numPr>
          <w:numId w:val="4"/>
        </w:numPr>
      </w:pPr>
      <w:r>
        <w:t>12:38 AI数据中心产能与光模块扩产规划</w:t>
      </w:r>
    </w:p>
    <w:p>
      <w:r>
        <w:rPr>
          <w:rFonts w:ascii="等线(中文正文)" w:hAnsi="等线(中文正文)" w:cs="等线(中文正文)" w:eastAsia="等线(中文正文)"/>
          <w:b w:val="false"/>
          <w:i w:val="false"/>
          <w:sz w:val="20"/>
        </w:rPr>
        <w:t>对话围绕公司AI数据中心服务器及光模块产能储备展开，提到正在建设中的13-14座厂房，预计未来两年陆续投产，每座厂房年营收规模可达20亿左右。讨论了高级HDI和m sub领域的投入产出比，认为1.5左右的比例较为合理。对于光模块扩产，未提供单线月出货量数据，但提到电镀线数量作为运营关键指标。预计下半年业绩因消费电子旺季及AI需求增长而爆发，明年的算力领域将是快速增长年份。</w:t>
      </w:r>
    </w:p>
    <w:p>
      <w:r>
        <w:rPr>
          <w:rFonts w:ascii="等线(中文正文)" w:hAnsi="等线(中文正文)" w:cs="等线(中文正文)" w:eastAsia="等线(中文正文)"/>
          <w:b w:val="false"/>
          <w:i w:val="false"/>
          <w:sz w:val="20"/>
        </w:rPr>
        <w:t/>
      </w:r>
    </w:p>
    <w:p>
      <w:pPr>
        <w:pStyle w:val="ab"/>
        <w:numPr>
          <w:numId w:val="5"/>
        </w:numPr>
      </w:pPr>
      <w:r>
        <w:t>16:51 消费电子毛利率提升原因探讨</w:t>
      </w:r>
    </w:p>
    <w:p>
      <w:r>
        <w:rPr>
          <w:rFonts w:ascii="等线(中文正文)" w:hAnsi="等线(中文正文)" w:cs="等线(中文正文)" w:eastAsia="等线(中文正文)"/>
          <w:b w:val="false"/>
          <w:i w:val="false"/>
          <w:sz w:val="20"/>
        </w:rPr>
        <w:t>对话围绕消费电子领域毛利率提升的原因展开，指出尽管行业面临原材料价格上涨的压力，但由于软板材料涨价传导不显著、公司运营效率提升及良率提高等因素，使得成本控制有效，进而实现了毛利率的显著增长。</w:t>
      </w:r>
    </w:p>
    <w:p>
      <w:r>
        <w:rPr>
          <w:rFonts w:ascii="等线(中文正文)" w:hAnsi="等线(中文正文)" w:cs="等线(中文正文)" w:eastAsia="等线(中文正文)"/>
          <w:b w:val="false"/>
          <w:i w:val="false"/>
          <w:sz w:val="20"/>
        </w:rPr>
        <w:t/>
      </w:r>
    </w:p>
    <w:p>
      <w:pPr>
        <w:pStyle w:val="ab"/>
        <w:numPr>
          <w:numId w:val="6"/>
        </w:numPr>
      </w:pPr>
      <w:r>
        <w:t>19:47 消费电子业务下半年趋势评估：折叠机拉动平稳增长</w:t>
      </w:r>
    </w:p>
    <w:p>
      <w:r>
        <w:rPr>
          <w:rFonts w:ascii="等线(中文正文)" w:hAnsi="等线(中文正文)" w:cs="等线(中文正文)" w:eastAsia="等线(中文正文)"/>
          <w:b w:val="false"/>
          <w:i w:val="false"/>
          <w:sz w:val="20"/>
        </w:rPr>
        <w:t>对话讨论了消费电子业务下半年的趋势，指出尽管常规产品出货量下降，但折叠机ASP提升显著，单机价值量增加，预计整体业务能保持平稳或略有增长，得益于产线满产状态。</w:t>
      </w:r>
    </w:p>
    <w:p>
      <w:r>
        <w:rPr>
          <w:rFonts w:ascii="等线(中文正文)" w:hAnsi="等线(中文正文)" w:cs="等线(中文正文)" w:eastAsia="等线(中文正文)"/>
          <w:b w:val="false"/>
          <w:i w:val="false"/>
          <w:sz w:val="20"/>
        </w:rPr>
        <w:t/>
      </w:r>
    </w:p>
    <w:p>
      <w:pPr>
        <w:pStyle w:val="ab"/>
        <w:numPr>
          <w:numId w:val="7"/>
        </w:numPr>
      </w:pPr>
      <w:r>
        <w:t>21:23 泰国工厂亏损原因及未来规划</w:t>
      </w:r>
    </w:p>
    <w:p>
      <w:r>
        <w:rPr>
          <w:rFonts w:ascii="等线(中文正文)" w:hAnsi="等线(中文正文)" w:cs="等线(中文正文)" w:eastAsia="等线(中文正文)"/>
          <w:b w:val="false"/>
          <w:i w:val="false"/>
          <w:sz w:val="20"/>
        </w:rPr>
        <w:t>对话围绕泰国工厂上半年亏损1.6亿的原因展开，指出单一工厂运营导致固定成本摊销过高，同时其他工厂建设产生额外费用。随着新工厂陆续投产，预计亏损情况将得到改善。泰国工厂在不考虑额外成本下，已进入盈利状态，生产涵盖光模块及AI相关产品。</w:t>
      </w:r>
    </w:p>
    <w:p>
      <w:r>
        <w:rPr>
          <w:rFonts w:ascii="等线(中文正文)" w:hAnsi="等线(中文正文)" w:cs="等线(中文正文)" w:eastAsia="等线(中文正文)"/>
          <w:b w:val="false"/>
          <w:i w:val="false"/>
          <w:sz w:val="20"/>
        </w:rPr>
        <w:t/>
      </w:r>
    </w:p>
    <w:p>
      <w:pPr>
        <w:pStyle w:val="ab"/>
        <w:numPr>
          <w:numId w:val="8"/>
        </w:numPr>
      </w:pPr>
      <w:r>
        <w:t>24:13 公司业绩亮点与未来规划探讨</w:t>
      </w:r>
    </w:p>
    <w:p>
      <w:r>
        <w:rPr>
          <w:rFonts w:ascii="等线(中文正文)" w:hAnsi="等线(中文正文)" w:cs="等线(中文正文)" w:eastAsia="等线(中文正文)"/>
          <w:b w:val="false"/>
          <w:i w:val="false"/>
          <w:sz w:val="20"/>
        </w:rPr>
        <w:t>对话围绕公司上半年亮眼业绩展开，讨论了公允价值变动收益来源，包括金融理财产品及股权投资项目。针对交期拉长与紧张情况，分析了原材料价格上涨与产能紧缺导致的价格传导机制，并预测下半年涨价趋势将持续。此外，还探讨了未来五年设备下单与锁定情况，强调了长远规划与战略联盟对保障设备供应的重要性，确保生产计划顺利进行。</w:t>
      </w:r>
    </w:p>
    <w:p>
      <w:r>
        <w:rPr>
          <w:rFonts w:ascii="等线(中文正文)" w:hAnsi="等线(中文正文)" w:cs="等线(中文正文)" w:eastAsia="等线(中文正文)"/>
          <w:b w:val="false"/>
          <w:i w:val="false"/>
          <w:sz w:val="20"/>
        </w:rPr>
        <w:t/>
      </w:r>
    </w:p>
    <w:p>
      <w:pPr>
        <w:pStyle w:val="ab"/>
        <w:numPr>
          <w:numId w:val="9"/>
        </w:numPr>
      </w:pPr>
      <w:r>
        <w:t>28:13 3.2T产品Msup设计与未来工艺调整探讨</w:t>
      </w:r>
    </w:p>
    <w:p>
      <w:r>
        <w:rPr>
          <w:rFonts w:ascii="等线(中文正文)" w:hAnsi="等线(中文正文)" w:cs="等线(中文正文)" w:eastAsia="等线(中文正文)"/>
          <w:b w:val="false"/>
          <w:i w:val="false"/>
          <w:sz w:val="20"/>
        </w:rPr>
        <w:t>对话围绕3.2T产品在Msup设计上的变化，包括材料层数、面积和价值量的调整，以及未来向NPU或CPU方向发展可能带来的工艺设计变化。讨论指出，随着技术升级，如从800G到1.6T再到3.2T，MCT层数和设计复杂度将增加，影响价值量。同时，随着层数增加，良率折损成为关注点，但技术团队对MC工艺有信心，认为能满足光模块升级需求。客户意愿将是决定大规模使用时间的关键。</w:t>
      </w:r>
    </w:p>
    <w:p>
      <w:r>
        <w:rPr>
          <w:rFonts w:ascii="等线(中文正文)" w:hAnsi="等线(中文正文)" w:cs="等线(中文正文)" w:eastAsia="等线(中文正文)"/>
          <w:b w:val="false"/>
          <w:i w:val="false"/>
          <w:sz w:val="20"/>
        </w:rPr>
        <w:t/>
      </w:r>
    </w:p>
    <w:p>
      <w:pPr>
        <w:pStyle w:val="ab"/>
        <w:numPr>
          <w:numId w:val="10"/>
        </w:numPr>
      </w:pPr>
      <w:r>
        <w:t>30:18 光模块行业与AI终端产品布局的探讨</w:t>
      </w:r>
    </w:p>
    <w:p>
      <w:r>
        <w:rPr>
          <w:rFonts w:ascii="等线(中文正文)" w:hAnsi="等线(中文正文)" w:cs="等线(中文正文)" w:eastAsia="等线(中文正文)"/>
          <w:b w:val="false"/>
          <w:i w:val="false"/>
          <w:sz w:val="20"/>
        </w:rPr>
        <w:t>对话围绕光模块行业全球规模目标展开，讨论了实现最大规模的信心来源及量化难度，同时分享了AI终端产品，尤其是可穿戴设备的布局方向，包括轻薄化趋势与机器人市场潜力。此外，还分析了大客户手机发布节奏调整对产能利用率及经营效率的影响，强调了上半年产能利用率提升对收入利润的正面作用。</w:t>
      </w:r>
    </w:p>
    <w:p>
      <w:r>
        <w:rPr>
          <w:rFonts w:ascii="等线(中文正文)" w:hAnsi="等线(中文正文)" w:cs="等线(中文正文)" w:eastAsia="等线(中文正文)"/>
          <w:b w:val="false"/>
          <w:i w:val="false"/>
          <w:sz w:val="20"/>
        </w:rPr>
        <w:t/>
      </w:r>
    </w:p>
    <w:p>
      <w:pPr>
        <w:pStyle w:val="ab"/>
        <w:numPr>
          <w:numId w:val="11"/>
        </w:numPr>
      </w:pPr>
      <w:r>
        <w:t>36:07 M上扩产设备评估与国产化，M-SAP工艺应用及服务器领域布局</w:t>
      </w:r>
    </w:p>
    <w:p>
      <w:r>
        <w:rPr>
          <w:rFonts w:ascii="等线(中文正文)" w:hAnsi="等线(中文正文)" w:cs="等线(中文正文)" w:eastAsia="等线(中文正文)"/>
          <w:b w:val="false"/>
          <w:i w:val="false"/>
          <w:sz w:val="20"/>
        </w:rPr>
        <w:t>对话讨论了M上扩产周期中设备采购的保障，特别是关键设备交期评估及国产设备替代可能性，同时介绍了M-SAP工艺在消费电子、光模块及未来算力领域的应用布局，以及公司在国内外服务器市场的发展策略。</w:t>
      </w:r>
    </w:p>
    <w:p>
      <w:r>
        <w:rPr>
          <w:rFonts w:ascii="等线(中文正文)" w:hAnsi="等线(中文正文)" w:cs="等线(中文正文)" w:eastAsia="等线(中文正文)"/>
          <w:b w:val="false"/>
          <w:i w:val="false"/>
          <w:sz w:val="20"/>
        </w:rPr>
        <w:t/>
      </w:r>
    </w:p>
    <w:p>
      <w:pPr>
        <w:pStyle w:val="ab"/>
        <w:numPr>
          <w:numId w:val="12"/>
        </w:numPr>
      </w:pPr>
      <w:r>
        <w:t>39:49 AI服务器市场与原材料价格压力下的公司战略</w:t>
      </w:r>
    </w:p>
    <w:p>
      <w:r>
        <w:rPr>
          <w:rFonts w:ascii="等线(中文正文)" w:hAnsi="等线(中文正文)" w:cs="等线(中文正文)" w:eastAsia="等线(中文正文)"/>
          <w:b w:val="false"/>
          <w:i w:val="false"/>
          <w:sz w:val="20"/>
        </w:rPr>
        <w:t>对话围绕公司在AI服务器市场的产品类型变化、订单与产能释放节奏展开，提及未来两年内将有11栋工厂陆续投产，新增产值预计每年可达20亿。同时讨论了原材料价格持续上涨的压力，以及如何通过策略联盟与供应商合作争取更优价格，分析了毛利率可能受到的影响，并指出产品价格传导机制的重要性。</w:t>
      </w:r>
    </w:p>
    <w:p>
      <w:r>
        <w:rPr>
          <w:rFonts w:ascii="等线(中文正文)" w:hAnsi="等线(中文正文)" w:cs="等线(中文正文)" w:eastAsia="等线(中文正文)"/>
          <w:b w:val="false"/>
          <w:i w:val="false"/>
          <w:sz w:val="20"/>
        </w:rPr>
        <w:t/>
      </w:r>
    </w:p>
    <w:p>
      <w:pPr>
        <w:pStyle w:val="ab"/>
        <w:numPr>
          <w:numId w:val="13"/>
        </w:numPr>
      </w:pPr>
      <w:r>
        <w:t>46:37 工厂扭亏与未来盈利展望</w:t>
      </w:r>
    </w:p>
    <w:p>
      <w:r>
        <w:rPr>
          <w:rFonts w:ascii="等线(中文正文)" w:hAnsi="等线(中文正文)" w:cs="等线(中文正文)" w:eastAsia="等线(中文正文)"/>
          <w:b w:val="false"/>
          <w:i w:val="false"/>
          <w:sz w:val="20"/>
        </w:rPr>
        <w:t>对话围绕海外工厂扭亏计划、硬板与软板毛利率差异及未来占比、固定资产折旧影响等议题展开。提及泰国与印度工厂扭亏需逐步推进，硬板扩产将提升整体毛利率，新厂投入将带来利润增长，折旧增加但因市场需求旺盛，预期产能利用率高。</w:t>
      </w:r>
    </w:p>
    <w:p>
      <w:r>
        <w:rPr>
          <w:rFonts w:ascii="等线(中文正文)" w:hAnsi="等线(中文正文)" w:cs="等线(中文正文)" w:eastAsia="等线(中文正文)"/>
          <w:b w:val="false"/>
          <w:i w:val="false"/>
          <w:sz w:val="20"/>
        </w:rPr>
        <w:t/>
      </w:r>
    </w:p>
    <w:p>
      <w:pPr>
        <w:pStyle w:val="ab"/>
        <w:numPr>
          <w:numId w:val="14"/>
        </w:numPr>
      </w:pPr>
      <w:r>
        <w:t>51:40 AI算力板出货量分析与未来展望</w:t>
      </w:r>
    </w:p>
    <w:p>
      <w:r>
        <w:rPr>
          <w:rFonts w:ascii="等线(中文正文)" w:hAnsi="等线(中文正文)" w:cs="等线(中文正文)" w:eastAsia="等线(中文正文)"/>
          <w:b w:val="false"/>
          <w:i w:val="false"/>
          <w:sz w:val="20"/>
        </w:rPr>
        <w:t>讨论了AI算力板出货量在7月未达预期的原因，预计8月数据将有所改善，强调下半年旺季对营收的积极影响，同时展望未来5到10年PCB领域的黄金发展周期。</w:t>
      </w:r>
    </w:p>
    <w:p>
      <w:r>
        <w:rPr>
          <w:rFonts w:ascii="等线(中文正文)" w:hAnsi="等线(中文正文)" w:cs="等线(中文正文)" w:eastAsia="等线(中文正文)"/>
          <w:b w:val="false"/>
          <w:i w:val="false"/>
          <w:sz w:val="20"/>
        </w:rPr>
        <w:t/>
      </w:r>
    </w:p>
    <w:p>
      <w:pPr>
        <w:pStyle w:val="a7"/>
      </w:pPr>
      <w:r>
        <w:t>发言总结</w:t>
      </w:r>
    </w:p>
    <w:p>
      <w:pPr>
        <w:pStyle w:val="ab"/>
        <w:numPr>
          <w:numId w:val="15"/>
        </w:numPr>
      </w:pPr>
      <w:r>
        <w:t>发言人1</w:t>
      </w:r>
    </w:p>
    <w:p>
      <w:r>
        <w:rPr>
          <w:rFonts w:ascii="等线(中文正文)" w:hAnsi="等线(中文正文)" w:cs="等线(中文正文)" w:eastAsia="等线(中文正文)"/>
          <w:b w:val="false"/>
          <w:i w:val="false"/>
          <w:sz w:val="20"/>
        </w:rPr>
        <w:t>他在鹏鼎控股2026年半年报业绩交流会上，首先欢迎各位投资者并强调会议内容不得未经授权转发。会议前要求线上投资者保持静音，并安排了提问时间。他介绍了会议出席的领导，包括副总经理、董事会秘书周总和AR主管侯总。
他详细汇报了公司上半年的经营情况，指出全球电子产业呈现两极分化格局，AI数据中心基建和高速通信网络推动算力赛道高景气，同时PCB产业链深度重构导致原材料价格上涨和存储芯片涨价。公司积极响应市场需求变化，优化中长期发展战略，将AI服务器高速光模块业务确立为第二增长曲线，并加大研发投入以把握AI产业发展窗口期。
财务数据显示，公司上半年实现营业收入172.17亿元，同比增长5.14%，归母净利润12.84亿元，同比增长4.11%，综合毛利率达到23.82%，同比增加55555.08个百分点。他还提到了汇率变动对公司净利润的影响以及对未来经营增长的乐观预期。
在互动交流环节，他回答了投资者关于研发投入、毛利率、产能扩张、服务器和AI领域布局等问题，详细阐述了公司在AI服务器、高速光模块领域的进展和未来展望。此外，他还讨论了原材料价格上涨对公司成本和毛利率的影响，以及公司应对策略。
最后，他表示，公司对未来的发展充满信心，预计下半年业绩将继续增长，强调在算力领域已进入高成长期，期待得到更多投资者的支持。</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问：公司上半年实现的营业收入和净利润分别是多少？公司综合毛利率较去年同期有何变化？</w:t>
      </w:r>
    </w:p>
    <w:p>
      <w:r>
        <w:rPr>
          <w:rFonts w:ascii="等线(中文正文)" w:hAnsi="等线(中文正文)" w:cs="等线(中文正文)" w:eastAsia="等线(中文正文)"/>
          <w:b w:val="false"/>
          <w:i w:val="false"/>
          <w:sz w:val="20"/>
        </w:rPr>
        <w:t>发言人1 答：公司上半年实现营业收入为172.17亿元，同比增长5.14%；归母净利润为12.84亿元，同比增长4.11%。公司综合毛利率达到了23.82%，同比增加了5.55个百分点。</w:t>
      </w:r>
    </w:p>
    <w:p>
      <w:r>
        <w:rPr>
          <w:rFonts w:ascii="等线(中文正文)" w:hAnsi="等线(中文正文)" w:cs="等线(中文正文)" w:eastAsia="等线(中文正文)"/>
          <w:b w:val="false"/>
          <w:i w:val="false"/>
          <w:sz w:val="20"/>
        </w:rPr>
        <w:t/>
      </w:r>
    </w:p>
    <w:p>
      <w:pPr>
        <w:pStyle w:val="ab"/>
      </w:pPr>
      <w:r>
        <w:t>发言人1 问：汇兑损失对净利润的影响有多大？研发投入的情况如何？</w:t>
      </w:r>
    </w:p>
    <w:p>
      <w:r>
        <w:rPr>
          <w:rFonts w:ascii="等线(中文正文)" w:hAnsi="等线(中文正文)" w:cs="等线(中文正文)" w:eastAsia="等线(中文正文)"/>
          <w:b w:val="false"/>
          <w:i w:val="false"/>
          <w:sz w:val="20"/>
        </w:rPr>
        <w:t>发言人1 答：报告期因人民币升值产生的汇兑损失为4.48亿元，去年同期为汇兑收益约700万，汇率差异对净利润形成了4.55亿的阶段性拖累。报告期内，公司的研发投入为15.97亿元，同比增加了5个多亿的投入。</w:t>
      </w:r>
    </w:p>
    <w:p>
      <w:r>
        <w:rPr>
          <w:rFonts w:ascii="等线(中文正文)" w:hAnsi="等线(中文正文)" w:cs="等线(中文正文)" w:eastAsia="等线(中文正文)"/>
          <w:b w:val="false"/>
          <w:i w:val="false"/>
          <w:sz w:val="20"/>
        </w:rPr>
        <w:t/>
      </w:r>
    </w:p>
    <w:p>
      <w:pPr>
        <w:pStyle w:val="ab"/>
      </w:pPr>
      <w:r>
        <w:t>发言人1 问：AI服务器高速光模块业务的营收增长情况及对整体毛利水平的影响？资本开支方面的布局投入及新增产能情况？</w:t>
      </w:r>
    </w:p>
    <w:p>
      <w:r>
        <w:rPr>
          <w:rFonts w:ascii="等线(中文正文)" w:hAnsi="等线(中文正文)" w:cs="等线(中文正文)" w:eastAsia="等线(中文正文)"/>
          <w:b w:val="false"/>
          <w:i w:val="false"/>
          <w:sz w:val="20"/>
        </w:rPr>
        <w:t>发言人1 答：AI服务器高速光模块业务营收实现了22.67亿元，同比增长181.58%，该业务板块毛利率为37.42%，远高于公司总体毛利水平。公司在资本开支方面加大布局投入，总体达到了64亿元，同比增加了34亿元。新增产能精准匹配未来客户中长期订单需求，并预计明后年产能将集中释放，为公司业绩持续增长提供充足的成长空间。</w:t>
      </w:r>
    </w:p>
    <w:p>
      <w:r>
        <w:rPr>
          <w:rFonts w:ascii="等线(中文正文)" w:hAnsi="等线(中文正文)" w:cs="等线(中文正文)" w:eastAsia="等线(中文正文)"/>
          <w:b w:val="false"/>
          <w:i w:val="false"/>
          <w:sz w:val="20"/>
        </w:rPr>
        <w:t/>
      </w:r>
    </w:p>
    <w:p>
      <w:pPr>
        <w:pStyle w:val="ab"/>
      </w:pPr>
      <w:r>
        <w:t>发言人1 问：公司的财务状况和资产负债率情况？</w:t>
      </w:r>
    </w:p>
    <w:p>
      <w:r>
        <w:rPr>
          <w:rFonts w:ascii="等线(中文正文)" w:hAnsi="等线(中文正文)" w:cs="等线(中文正文)" w:eastAsia="等线(中文正文)"/>
          <w:b w:val="false"/>
          <w:i w:val="false"/>
          <w:sz w:val="20"/>
        </w:rPr>
        <w:t>发言人1 答：公司的资产负债率维持在35%的优质低水位水平，整体财务结构健康，应收账款周转天数和存货周转天数均保持行业领先优秀水平。</w:t>
      </w:r>
    </w:p>
    <w:p>
      <w:r>
        <w:rPr>
          <w:rFonts w:ascii="等线(中文正文)" w:hAnsi="等线(中文正文)" w:cs="等线(中文正文)" w:eastAsia="等线(中文正文)"/>
          <w:b w:val="false"/>
          <w:i w:val="false"/>
          <w:sz w:val="20"/>
        </w:rPr>
        <w:t/>
      </w:r>
    </w:p>
    <w:p>
      <w:pPr>
        <w:pStyle w:val="ab"/>
      </w:pPr>
      <w:r>
        <w:t>发言人1 问：对于下半年的经营预期如何？</w:t>
      </w:r>
    </w:p>
    <w:p>
      <w:r>
        <w:rPr>
          <w:rFonts w:ascii="等线(中文正文)" w:hAnsi="等线(中文正文)" w:cs="等线(中文正文)" w:eastAsia="等线(中文正文)"/>
          <w:b w:val="false"/>
          <w:i w:val="false"/>
          <w:sz w:val="20"/>
        </w:rPr>
        <w:t>发言人1 答：下半年公司的经营将进入快速的增长趋势，端测产品进入年度生产旺季，同时AI算力相关的客户在四季度进入集中拉货周期，公司产品订单将加快交付。</w:t>
      </w:r>
    </w:p>
    <w:p>
      <w:r>
        <w:rPr>
          <w:rFonts w:ascii="等线(中文正文)" w:hAnsi="等线(中文正文)" w:cs="等线(中文正文)" w:eastAsia="等线(中文正文)"/>
          <w:b w:val="false"/>
          <w:i w:val="false"/>
          <w:sz w:val="20"/>
        </w:rPr>
        <w:t/>
      </w:r>
    </w:p>
    <w:p>
      <w:pPr>
        <w:pStyle w:val="ab"/>
      </w:pPr>
      <w:r>
        <w:t>发言人1 问：这两年公司在哪些方面进行了积极扩展，并且取得了哪些成果？</w:t>
      </w:r>
    </w:p>
    <w:p>
      <w:r>
        <w:rPr>
          <w:rFonts w:ascii="等线(中文正文)" w:hAnsi="等线(中文正文)" w:cs="等线(中文正文)" w:eastAsia="等线(中文正文)"/>
          <w:b w:val="false"/>
          <w:i w:val="false"/>
          <w:sz w:val="20"/>
        </w:rPr>
        <w:t>发言人1 答：公司在服务器类、汽车类以及未来端测产品的技术研发方面进行了积极扩展。尤其是在今年上半年，服务器业务成长显著，AI服务器的技术进步也非常快。为了紧跟技术趋势，公司加大了研发投入，以保持技术制高点地位，满足客户需求，并在行业中树立技术领先企业的形象。此外，公司在AI算力产品和技术开发上持续投入，同时在汽车领域和端测领域也进行了前期产品和机器人方面的投入。</w:t>
      </w:r>
    </w:p>
    <w:p>
      <w:r>
        <w:rPr>
          <w:rFonts w:ascii="等线(中文正文)" w:hAnsi="等线(中文正文)" w:cs="等线(中文正文)" w:eastAsia="等线(中文正文)"/>
          <w:b w:val="false"/>
          <w:i w:val="false"/>
          <w:sz w:val="20"/>
        </w:rPr>
        <w:t/>
      </w:r>
    </w:p>
    <w:p>
      <w:pPr>
        <w:pStyle w:val="ab"/>
      </w:pPr>
      <w:r>
        <w:t>发言人1 问：未来研发比例是否会维持高位或进一步提升？</w:t>
      </w:r>
    </w:p>
    <w:p>
      <w:r>
        <w:rPr>
          <w:rFonts w:ascii="等线(中文正文)" w:hAnsi="等线(中文正文)" w:cs="等线(中文正文)" w:eastAsia="等线(中文正文)"/>
          <w:b w:val="false"/>
          <w:i w:val="false"/>
          <w:sz w:val="20"/>
        </w:rPr>
        <w:t>发言人1 答：根据目前的研发投入情况，预计下半年至明年，研发比例可能会保持相对较高的水平，甚至有可能继续上升。这是因为过去两年是研发投入的一个高峰阶段，尤其是在算力方面的起步年份。随着营收的增长，研发投入在营收中的占比可能会有所降低，但绝对值会随着未来端侧产品应用需求的增加而增大。</w:t>
      </w:r>
    </w:p>
    <w:p>
      <w:r>
        <w:rPr>
          <w:rFonts w:ascii="等线(中文正文)" w:hAnsi="等线(中文正文)" w:cs="等线(中文正文)" w:eastAsia="等线(中文正文)"/>
          <w:b w:val="false"/>
          <w:i w:val="false"/>
          <w:sz w:val="20"/>
        </w:rPr>
        <w:t/>
      </w:r>
    </w:p>
    <w:p>
      <w:pPr>
        <w:pStyle w:val="ab"/>
      </w:pPr>
      <w:r>
        <w:t>发言人1 问：公司服务器和汽车板块的毛利率整体情况如何？</w:t>
      </w:r>
    </w:p>
    <w:p>
      <w:r>
        <w:rPr>
          <w:rFonts w:ascii="等线(中文正文)" w:hAnsi="等线(中文正文)" w:cs="等线(中文正文)" w:eastAsia="等线(中文正文)"/>
          <w:b w:val="false"/>
          <w:i w:val="false"/>
          <w:sz w:val="20"/>
        </w:rPr>
        <w:t>发言人1 答：整体来看，服务器和汽车板块的毛利率接近37%，其中服务器及相关产品的毛利率基本在45%左右甚至更高。由于汽车行业整体压力较大，因此汽车服务器板块的盈利能力相对较好。</w:t>
      </w:r>
    </w:p>
    <w:p>
      <w:r>
        <w:rPr>
          <w:rFonts w:ascii="等线(中文正文)" w:hAnsi="等线(中文正文)" w:cs="等线(中文正文)" w:eastAsia="等线(中文正文)"/>
          <w:b w:val="false"/>
          <w:i w:val="false"/>
          <w:sz w:val="20"/>
        </w:rPr>
        <w:t/>
      </w:r>
    </w:p>
    <w:p>
      <w:pPr>
        <w:pStyle w:val="ab"/>
      </w:pPr>
      <w:r>
        <w:t>发言人1 问：公司现阶段AI数据中心服务器及光模块产能储备情况如何，以及未来的扩产规划？</w:t>
      </w:r>
    </w:p>
    <w:p>
      <w:r>
        <w:rPr>
          <w:rFonts w:ascii="等线(中文正文)" w:hAnsi="等线(中文正文)" w:cs="等线(中文正文)" w:eastAsia="等线(中文正文)"/>
          <w:b w:val="false"/>
          <w:i w:val="false"/>
          <w:sz w:val="20"/>
        </w:rPr>
        <w:t>发言人1 答：公司目前在建和规划的厂房有十几座，预计将在明年和后年陆续投产。按照目前的产品结构，每座厂房的营收规模可达到20亿上下。此外，公司也在积极围绕光模块进行扩产，但具体的单线月出货量数据未披露。</w:t>
      </w:r>
    </w:p>
    <w:p>
      <w:r>
        <w:rPr>
          <w:rFonts w:ascii="等线(中文正文)" w:hAnsi="等线(中文正文)" w:cs="等线(中文正文)" w:eastAsia="等线(中文正文)"/>
          <w:b w:val="false"/>
          <w:i w:val="false"/>
          <w:sz w:val="20"/>
        </w:rPr>
        <w:t/>
      </w:r>
    </w:p>
    <w:p>
      <w:pPr>
        <w:pStyle w:val="ab"/>
      </w:pPr>
      <w:r>
        <w:t>发言人1 问：当前公司的投入产出比大概是多少？</w:t>
      </w:r>
    </w:p>
    <w:p>
      <w:r>
        <w:rPr>
          <w:rFonts w:ascii="等线(中文正文)" w:hAnsi="等线(中文正文)" w:cs="等线(中文正文)" w:eastAsia="等线(中文正文)"/>
          <w:b w:val="false"/>
          <w:i w:val="false"/>
          <w:sz w:val="20"/>
        </w:rPr>
        <w:t>发言人1 答：目前公司的投入产出比大约在1比1.5上下，具体数值会根据产品结构有所变化，但整体来说，这一比例是相对合理的。</w:t>
      </w:r>
    </w:p>
    <w:p>
      <w:r>
        <w:rPr>
          <w:rFonts w:ascii="等线(中文正文)" w:hAnsi="等线(中文正文)" w:cs="等线(中文正文)" w:eastAsia="等线(中文正文)"/>
          <w:b w:val="false"/>
          <w:i w:val="false"/>
          <w:sz w:val="20"/>
        </w:rPr>
        <w:t/>
      </w:r>
    </w:p>
    <w:p>
      <w:pPr>
        <w:pStyle w:val="ab"/>
      </w:pPr>
      <w:r>
        <w:t>发言人1 问：关于消费电子板块毛利率提升的原因是什么？</w:t>
      </w:r>
    </w:p>
    <w:p>
      <w:r>
        <w:rPr>
          <w:rFonts w:ascii="等线(中文正文)" w:hAnsi="等线(中文正文)" w:cs="等线(中文正文)" w:eastAsia="等线(中文正文)"/>
          <w:b w:val="false"/>
          <w:i w:val="false"/>
          <w:sz w:val="20"/>
        </w:rPr>
        <w:t>发言人1 答：消费电子板块毛利率提升的主要原因在于公司的成本控制以及原材料价格上涨的传导节奏。尽管行业原材料价格压力较大，但由于上半年通讯和消费电子领域软板占比相对较高，软板相关的材料涨价传导节奏并不显著，所以公司的成本控制效果使得毛利率得以提升。</w:t>
      </w:r>
    </w:p>
    <w:p>
      <w:r>
        <w:rPr>
          <w:rFonts w:ascii="等线(中文正文)" w:hAnsi="等线(中文正文)" w:cs="等线(中文正文)" w:eastAsia="等线(中文正文)"/>
          <w:b w:val="false"/>
          <w:i w:val="false"/>
          <w:sz w:val="20"/>
        </w:rPr>
        <w:t/>
      </w:r>
    </w:p>
    <w:p>
      <w:pPr>
        <w:pStyle w:val="ab"/>
      </w:pPr>
      <w:r>
        <w:t>发言人1 问：消费电子业务方面，考虑到常规出货量下降和折叠机ASP提升的影响，能否评估一下下半年消费电子业务的趋势，是持平还是增长？</w:t>
      </w:r>
    </w:p>
    <w:p>
      <w:r>
        <w:rPr>
          <w:rFonts w:ascii="等线(中文正文)" w:hAnsi="等线(中文正文)" w:cs="等线(中文正文)" w:eastAsia="等线(中文正文)"/>
          <w:b w:val="false"/>
          <w:i w:val="false"/>
          <w:sz w:val="20"/>
        </w:rPr>
        <w:t>发言人1 答：根据目前的情况，由于产线已进入满产状态，尽管常规出货量有所减少，但由于折叠机的单机价值量增加，整体来看，消费电子业务有望保持相对平稳，折叠机的贡献较为显著。</w:t>
      </w:r>
    </w:p>
    <w:p>
      <w:r>
        <w:rPr>
          <w:rFonts w:ascii="等线(中文正文)" w:hAnsi="等线(中文正文)" w:cs="等线(中文正文)" w:eastAsia="等线(中文正文)"/>
          <w:b w:val="false"/>
          <w:i w:val="false"/>
          <w:sz w:val="20"/>
        </w:rPr>
        <w:t/>
      </w:r>
    </w:p>
    <w:p>
      <w:pPr>
        <w:pStyle w:val="ab"/>
      </w:pPr>
      <w:r>
        <w:t>发言人1 问：泰国工厂上半年收入体量不大，但亏损达到1.6亿，主要原因是光模块产品毛利高，亏损是否与产能利用率或转移节点有关？</w:t>
      </w:r>
    </w:p>
    <w:p>
      <w:r>
        <w:rPr>
          <w:rFonts w:ascii="等线(中文正文)" w:hAnsi="等线(中文正文)" w:cs="等线(中文正文)" w:eastAsia="等线(中文正文)"/>
          <w:b w:val="false"/>
          <w:i w:val="false"/>
          <w:sz w:val="20"/>
        </w:rPr>
        <w:t>发言人1 答：泰国工厂亏损主要是由于单一工厂在开建过程中产生的高昂固定成本，如排污等园区规划费用分摊到单个工厂上导致成本很高。随着其他工厂投产，这一状况将很快得到扭转，若不考虑额外成本，该工厂仅就光模块业务而言，已进入较好的盈利状态。</w:t>
      </w:r>
    </w:p>
    <w:p>
      <w:r>
        <w:rPr>
          <w:rFonts w:ascii="等线(中文正文)" w:hAnsi="等线(中文正文)" w:cs="等线(中文正文)" w:eastAsia="等线(中文正文)"/>
          <w:b w:val="false"/>
          <w:i w:val="false"/>
          <w:sz w:val="20"/>
        </w:rPr>
        <w:t/>
      </w:r>
    </w:p>
    <w:p>
      <w:pPr>
        <w:pStyle w:val="ab"/>
      </w:pPr>
      <w:r>
        <w:t>发言人1 问：上半年公允价值变动收益较大，这部分主要来自哪些金融理财产品的收益？</w:t>
      </w:r>
    </w:p>
    <w:p>
      <w:r>
        <w:rPr>
          <w:rFonts w:ascii="等线(中文正文)" w:hAnsi="等线(中文正文)" w:cs="等线(中文正文)" w:eastAsia="等线(中文正文)"/>
          <w:b w:val="false"/>
          <w:i w:val="false"/>
          <w:sz w:val="20"/>
        </w:rPr>
        <w:t>发言人1 答：这部分收益主要来源于公司投资的基金和股权投资项目的公允价值变化。</w:t>
      </w:r>
    </w:p>
    <w:p>
      <w:r>
        <w:rPr>
          <w:rFonts w:ascii="等线(中文正文)" w:hAnsi="等线(中文正文)" w:cs="等线(中文正文)" w:eastAsia="等线(中文正文)"/>
          <w:b w:val="false"/>
          <w:i w:val="false"/>
          <w:sz w:val="20"/>
        </w:rPr>
        <w:t/>
      </w:r>
    </w:p>
    <w:p>
      <w:pPr>
        <w:pStyle w:val="ab"/>
      </w:pPr>
      <w:r>
        <w:t>发言人1 问：面对交期持续拉长且紧张的现状，我们是否对客户进行了提价，以及提价幅度是多少？</w:t>
      </w:r>
    </w:p>
    <w:p>
      <w:r>
        <w:rPr>
          <w:rFonts w:ascii="等线(中文正文)" w:hAnsi="等线(中文正文)" w:cs="等线(中文正文)" w:eastAsia="等线(中文正文)"/>
          <w:b w:val="false"/>
          <w:i w:val="false"/>
          <w:sz w:val="20"/>
        </w:rPr>
        <w:t>发言人1 答：价格的提升是根据供需关系及上游原材料成本上涨等因素合理调整的，涨价逻辑上是合理的。在未来一段时间内，鉴于供需紧张的状况，涨价趋势可能仍将持续。</w:t>
      </w:r>
    </w:p>
    <w:p>
      <w:r>
        <w:rPr>
          <w:rFonts w:ascii="等线(中文正文)" w:hAnsi="等线(中文正文)" w:cs="等线(中文正文)" w:eastAsia="等线(中文正文)"/>
          <w:b w:val="false"/>
          <w:i w:val="false"/>
          <w:sz w:val="20"/>
        </w:rPr>
        <w:t/>
      </w:r>
    </w:p>
    <w:p>
      <w:pPr>
        <w:pStyle w:val="ab"/>
      </w:pPr>
      <w:r>
        <w:t>发言人1 问：关于M3产能扩充快速推进，但设备交期也在延长，未来几年核心设备下单和锁定情况如何？是否存在瓶颈设备供应问题？</w:t>
      </w:r>
    </w:p>
    <w:p>
      <w:r>
        <w:rPr>
          <w:rFonts w:ascii="等线(中文正文)" w:hAnsi="等线(中文正文)" w:cs="等线(中文正文)" w:eastAsia="等线(中文正文)"/>
          <w:b w:val="false"/>
          <w:i w:val="false"/>
          <w:sz w:val="20"/>
        </w:rPr>
        <w:t>发言人1 答：公司已按照五年期规划进行了长远产能和设备布局，目前根据规划下订单锁定设备，并与供应商建立了紧密的战略联盟关系，确保核心设备和原材料供应充足，不会出现严重瓶颈。</w:t>
      </w:r>
    </w:p>
    <w:p>
      <w:r>
        <w:rPr>
          <w:rFonts w:ascii="等线(中文正文)" w:hAnsi="等线(中文正文)" w:cs="等线(中文正文)" w:eastAsia="等线(中文正文)"/>
          <w:b w:val="false"/>
          <w:i w:val="false"/>
          <w:sz w:val="20"/>
        </w:rPr>
        <w:t/>
      </w:r>
    </w:p>
    <w:p>
      <w:pPr>
        <w:pStyle w:val="ab"/>
      </w:pPr>
      <w:r>
        <w:t>发言人1 问：3.2T产品在m sup设计上有哪些变化，以及未来工艺是否会调整？m sap工艺何时能达到稳定可量产水平？</w:t>
      </w:r>
    </w:p>
    <w:p>
      <w:r>
        <w:rPr>
          <w:rFonts w:ascii="等线(中文正文)" w:hAnsi="等线(中文正文)" w:cs="等线(中文正文)" w:eastAsia="等线(中文正文)"/>
          <w:b w:val="false"/>
          <w:i w:val="false"/>
          <w:sz w:val="20"/>
        </w:rPr>
        <w:t>发言人1 答：3.2T产品在m sup设计中，材料层数、面积和价值量都有相应变化。随着技术进步，如从800G到1.6T再到3.2T，MCT层数会增加，设计复杂程度、层数等也会相应提升，这将带来价值量的变化。关于未来是否往NPU或CPU方向调整，目前工艺设计上尚未明确调整计划。对于m sap工艺何时能实现稳定可量产，主要取决于客户意愿。从技术角度讲，公司对m sap工艺非常有信心，整体工艺能覆盖光模块升级需求，但具体良率和量产时间难以量化预测。</w:t>
      </w:r>
    </w:p>
    <w:p>
      <w:r>
        <w:rPr>
          <w:rFonts w:ascii="等线(中文正文)" w:hAnsi="等线(中文正文)" w:cs="等线(中文正文)" w:eastAsia="等线(中文正文)"/>
          <w:b w:val="false"/>
          <w:i w:val="false"/>
          <w:sz w:val="20"/>
        </w:rPr>
        <w:t/>
      </w:r>
    </w:p>
    <w:p>
      <w:pPr>
        <w:pStyle w:val="ab"/>
      </w:pPr>
      <w:r>
        <w:t>发言人1 问：公司对于光模块m sap份额及竞争结构有何预期？</w:t>
      </w:r>
    </w:p>
    <w:p>
      <w:r>
        <w:rPr>
          <w:rFonts w:ascii="等线(中文正文)" w:hAnsi="等线(中文正文)" w:cs="等线(中文正文)" w:eastAsia="等线(中文正文)"/>
          <w:b w:val="false"/>
          <w:i w:val="false"/>
          <w:sz w:val="20"/>
        </w:rPr>
        <w:t>发言人1 答：对于m sap在全球的市场份额量化难以给出，但从投资布局和技术积累来看，公司有信心明年做到全球最大，但占具体份额（如30%或40%）无法提供量化指引。</w:t>
      </w:r>
    </w:p>
    <w:p>
      <w:r>
        <w:rPr>
          <w:rFonts w:ascii="等线(中文正文)" w:hAnsi="等线(中文正文)" w:cs="等线(中文正文)" w:eastAsia="等线(中文正文)"/>
          <w:b w:val="false"/>
          <w:i w:val="false"/>
          <w:sz w:val="20"/>
        </w:rPr>
        <w:t/>
      </w:r>
    </w:p>
    <w:p>
      <w:pPr>
        <w:pStyle w:val="ab"/>
      </w:pPr>
      <w:r>
        <w:t>发言人1 问：新型AI终端中，哪些类型的产品更可能实现早期放量？</w:t>
      </w:r>
    </w:p>
    <w:p>
      <w:r>
        <w:rPr>
          <w:rFonts w:ascii="等线(中文正文)" w:hAnsi="等线(中文正文)" w:cs="等线(中文正文)" w:eastAsia="等线(中文正文)"/>
          <w:b w:val="false"/>
          <w:i w:val="false"/>
          <w:sz w:val="20"/>
        </w:rPr>
        <w:t>发言人1 答：公司在可穿戴设备领域正在布局，随着AI技术发展，未来可穿戴产品将更加轻薄便携，这是发展趋势。同时，也在探索机器人相关产品和技术，比如机器人类产品，预计在未来有较大市场空间。</w:t>
      </w:r>
    </w:p>
    <w:p>
      <w:r>
        <w:rPr>
          <w:rFonts w:ascii="等线(中文正文)" w:hAnsi="等线(中文正文)" w:cs="等线(中文正文)" w:eastAsia="等线(中文正文)"/>
          <w:b w:val="false"/>
          <w:i w:val="false"/>
          <w:sz w:val="20"/>
        </w:rPr>
        <w:t/>
      </w:r>
    </w:p>
    <w:p>
      <w:pPr>
        <w:pStyle w:val="ab"/>
      </w:pPr>
      <w:r>
        <w:t>发言人1 问：手机发布节奏变化对下半年经营效率、开工率及财务提升的影响如何？</w:t>
      </w:r>
    </w:p>
    <w:p>
      <w:r>
        <w:rPr>
          <w:rFonts w:ascii="等线(中文正文)" w:hAnsi="等线(中文正文)" w:cs="等线(中文正文)" w:eastAsia="等线(中文正文)"/>
          <w:b w:val="false"/>
          <w:i w:val="false"/>
          <w:sz w:val="20"/>
        </w:rPr>
        <w:t>发言人1 答：今年下半年新品发布较少，但折叠屏产品能弥补部分空缺。上半年因季节性淡季导致经营效率和开工率较低，若上半年产能利用率提升并进行适当投入，可预期收入和利润增加，有利于整体经营状况改善。</w:t>
      </w:r>
    </w:p>
    <w:p>
      <w:r>
        <w:rPr>
          <w:rFonts w:ascii="等线(中文正文)" w:hAnsi="等线(中文正文)" w:cs="等线(中文正文)" w:eastAsia="等线(中文正文)"/>
          <w:b w:val="false"/>
          <w:i w:val="false"/>
          <w:sz w:val="20"/>
        </w:rPr>
        <w:t/>
      </w:r>
    </w:p>
    <w:p>
      <w:pPr>
        <w:pStyle w:val="ab"/>
      </w:pPr>
      <w:r>
        <w:t>发言人1 问：扩产过程中哪些设备交期较长，是否评估了国产设备以缩短交期？</w:t>
      </w:r>
    </w:p>
    <w:p>
      <w:r>
        <w:rPr>
          <w:rFonts w:ascii="等线(中文正文)" w:hAnsi="等线(中文正文)" w:cs="等线(中文正文)" w:eastAsia="等线(中文正文)"/>
          <w:b w:val="false"/>
          <w:i w:val="false"/>
          <w:sz w:val="20"/>
        </w:rPr>
        <w:t>发言人1 答：目前订购的关键设备交期均在可承受范围内，暂无因交期问题必须转换方案的情况。同时，公司在积极评估国产设备，一旦国产设备满足工艺要求，将积极推进使用。</w:t>
      </w:r>
    </w:p>
    <w:p>
      <w:r>
        <w:rPr>
          <w:rFonts w:ascii="等线(中文正文)" w:hAnsi="等线(中文正文)" w:cs="等线(中文正文)" w:eastAsia="等线(中文正文)"/>
          <w:b w:val="false"/>
          <w:i w:val="false"/>
          <w:sz w:val="20"/>
        </w:rPr>
        <w:t/>
      </w:r>
    </w:p>
    <w:p>
      <w:pPr>
        <w:pStyle w:val="ab"/>
      </w:pPr>
      <w:r>
        <w:t>发言人1 问：对于m sap工艺在其他领域的应用布局有何储备？</w:t>
      </w:r>
    </w:p>
    <w:p>
      <w:r>
        <w:rPr>
          <w:rFonts w:ascii="等线(中文正文)" w:hAnsi="等线(中文正文)" w:cs="等线(中文正文)" w:eastAsia="等线(中文正文)"/>
          <w:b w:val="false"/>
          <w:i w:val="false"/>
          <w:sz w:val="20"/>
        </w:rPr>
        <w:t>发言人1 答：m sap工艺最早在消费电子领域得到应用，尤其在手机领域表现出优势。未来公司将根据技术进展和市场需求，在不同领域布局m sap工艺，具体储备还在进一步规划和发展中。</w:t>
      </w:r>
    </w:p>
    <w:p>
      <w:r>
        <w:rPr>
          <w:rFonts w:ascii="等线(中文正文)" w:hAnsi="等线(中文正文)" w:cs="等线(中文正文)" w:eastAsia="等线(中文正文)"/>
          <w:b w:val="false"/>
          <w:i w:val="false"/>
          <w:sz w:val="20"/>
        </w:rPr>
        <w:t/>
      </w:r>
    </w:p>
    <w:p>
      <w:pPr>
        <w:pStyle w:val="ab"/>
      </w:pPr>
      <w:r>
        <w:t>发言人1 问：在算力领域，HDI与接受产线能否共用？以及未来的发展趋势是什么？</w:t>
      </w:r>
    </w:p>
    <w:p>
      <w:r>
        <w:rPr>
          <w:rFonts w:ascii="等线(中文正文)" w:hAnsi="等线(中文正文)" w:cs="等线(中文正文)" w:eastAsia="等线(中文正文)"/>
          <w:b w:val="false"/>
          <w:i w:val="false"/>
          <w:sz w:val="20"/>
        </w:rPr>
        <w:t>发言人1 答：我们的产能投放策略是将HDI和Accept产线共用，从未来发展的角度看，服务器领域从HDI升级到HBI是一个大趋势。随着技术进步，原本使用普通HDI产品可能会向更高阶的HDI升级，最终会需要用到Accept产线，因此在算力领域的空间也十分广阔。</w:t>
      </w:r>
    </w:p>
    <w:p>
      <w:r>
        <w:rPr>
          <w:rFonts w:ascii="等线(中文正文)" w:hAnsi="等线(中文正文)" w:cs="等线(中文正文)" w:eastAsia="等线(中文正文)"/>
          <w:b w:val="false"/>
          <w:i w:val="false"/>
          <w:sz w:val="20"/>
        </w:rPr>
        <w:t/>
      </w:r>
    </w:p>
    <w:p>
      <w:pPr>
        <w:pStyle w:val="ab"/>
      </w:pPr>
      <w:r>
        <w:t>发言人1 问：公司在服务器领域的布局进展如何？特别是在国内和海外市场方面？</w:t>
      </w:r>
    </w:p>
    <w:p>
      <w:r>
        <w:rPr>
          <w:rFonts w:ascii="等线(中文正文)" w:hAnsi="等线(中文正文)" w:cs="等线(中文正文)" w:eastAsia="等线(中文正文)"/>
          <w:b w:val="false"/>
          <w:i w:val="false"/>
          <w:sz w:val="20"/>
        </w:rPr>
        <w:t>发言人1 答：目前，公司在服务器领域与国内外的客户如国内服务器客户及海外CSP客户都有积极的合作进展。尤其是在海外CSP客户方面，我们正努力进入并取得突破。在国内市场，一旦放量我们也将会紧跟国内市场发展，寻求更好的发展空间。</w:t>
      </w:r>
    </w:p>
    <w:p>
      <w:r>
        <w:rPr>
          <w:rFonts w:ascii="等线(中文正文)" w:hAnsi="等线(中文正文)" w:cs="等线(中文正文)" w:eastAsia="等线(中文正文)"/>
          <w:b w:val="false"/>
          <w:i w:val="false"/>
          <w:sz w:val="20"/>
        </w:rPr>
        <w:t/>
      </w:r>
    </w:p>
    <w:p>
      <w:pPr>
        <w:pStyle w:val="ab"/>
      </w:pPr>
      <w:r>
        <w:t>发言人1 问：公司在AI服务器市场的最新产品类型及订单产能释放情况如何？</w:t>
      </w:r>
    </w:p>
    <w:p>
      <w:r>
        <w:rPr>
          <w:rFonts w:ascii="等线(中文正文)" w:hAnsi="等线(中文正文)" w:cs="等线(中文正文)" w:eastAsia="等线(中文正文)"/>
          <w:b w:val="false"/>
          <w:i w:val="false"/>
          <w:sz w:val="20"/>
        </w:rPr>
        <w:t>发言人1 答：进入下半年，公司在AI服务器、高级HDI及光模块等产品领域的出货量都会有显著增加。下半年将会有新的产品型号投入市场，伴随新产能的投放。从产能释放进度来看，今年新增产能不多，而明年和后年会有十多栋工厂陆续投产，预计到2023年新增产值将达到每栋20亿左右，并分季度逐步释放。</w:t>
      </w:r>
    </w:p>
    <w:p>
      <w:r>
        <w:rPr>
          <w:rFonts w:ascii="等线(中文正文)" w:hAnsi="等线(中文正文)" w:cs="等线(中文正文)" w:eastAsia="等线(中文正文)"/>
          <w:b w:val="false"/>
          <w:i w:val="false"/>
          <w:sz w:val="20"/>
        </w:rPr>
        <w:t/>
      </w:r>
    </w:p>
    <w:p>
      <w:pPr>
        <w:pStyle w:val="ab"/>
      </w:pPr>
      <w:r>
        <w:t>发言人1 问：面对原材料价格上涨的问题，三季度原材料价格是否会缓和，以及原材料紧缺对公司产品毛利率的影响是什么？</w:t>
      </w:r>
    </w:p>
    <w:p>
      <w:r>
        <w:rPr>
          <w:rFonts w:ascii="等线(中文正文)" w:hAnsi="等线(中文正文)" w:cs="等线(中文正文)" w:eastAsia="等线(中文正文)"/>
          <w:b w:val="false"/>
          <w:i w:val="false"/>
          <w:sz w:val="20"/>
        </w:rPr>
        <w:t>发言人1 答：虽然原材料上游也在涨价，但由于原材料短缺，导致价格仍有较大压力。对于原材料价格是否维持高位或有所回落，这取决于不同的产品和需求量，需要与供应商协商合作。若不考虑加动率问题，单从产品方面看，毛利率在三季度可能会受到原材料价格上涨的影响而有所下降。</w:t>
      </w:r>
    </w:p>
    <w:p>
      <w:r>
        <w:rPr>
          <w:rFonts w:ascii="等线(中文正文)" w:hAnsi="等线(中文正文)" w:cs="等线(中文正文)" w:eastAsia="等线(中文正文)"/>
          <w:b w:val="false"/>
          <w:i w:val="false"/>
          <w:sz w:val="20"/>
        </w:rPr>
        <w:t/>
      </w:r>
    </w:p>
    <w:p>
      <w:pPr>
        <w:pStyle w:val="ab"/>
      </w:pPr>
      <w:r>
        <w:t>发言人1 问：泰国和印度工厂的扭亏情况及其未来展望是怎样的？</w:t>
      </w:r>
    </w:p>
    <w:p>
      <w:r>
        <w:rPr>
          <w:rFonts w:ascii="等线(中文正文)" w:hAnsi="等线(中文正文)" w:cs="等线(中文正文)" w:eastAsia="等线(中文正文)"/>
          <w:b w:val="false"/>
          <w:i w:val="false"/>
          <w:sz w:val="20"/>
        </w:rPr>
        <w:t>发言人1 答：泰国和印度工厂目前存在一定的亏损状况，但随着更多厂房（如二场、三场、五场、六场）的陆续投产，预计会有较好的改善。单个移动厂房由于需要cover掉大量固定成本，单独考量盈利情况较困难，但从整体建设成本和运营状况来看，单栋厂房已经能够实现盈利。印度的情况更为复杂，我们正在评估相关情况。</w:t>
      </w:r>
    </w:p>
    <w:p>
      <w:r>
        <w:rPr>
          <w:rFonts w:ascii="等线(中文正文)" w:hAnsi="等线(中文正文)" w:cs="等线(中文正文)" w:eastAsia="等线(中文正文)"/>
          <w:b w:val="false"/>
          <w:i w:val="false"/>
          <w:sz w:val="20"/>
        </w:rPr>
        <w:t/>
      </w:r>
    </w:p>
    <w:p>
      <w:pPr>
        <w:pStyle w:val="ab"/>
      </w:pPr>
      <w:r>
        <w:t>发言人1 问：在固定资产投资较多的阶段，从2027年开始折旧会增加，能否详细介绍一下后续折旧展望，包括折旧年限、新厂投产后的折旧情况等？</w:t>
      </w:r>
    </w:p>
    <w:p>
      <w:r>
        <w:rPr>
          <w:rFonts w:ascii="等线(中文正文)" w:hAnsi="等线(中文正文)" w:cs="等线(中文正文)" w:eastAsia="等线(中文正文)"/>
          <w:b w:val="false"/>
          <w:i w:val="false"/>
          <w:sz w:val="20"/>
        </w:rPr>
        <w:t>发言人1 答：我们设备的折旧周期大约为8年，厂房折旧时间更长。明年新厂投产后，折旧确实会有所增加，但主要投入仍会是与高级HDI相关的产品。这些产品市场需求紧缺，订单相对有保障，且公司技术能力较强，因此新厂投产后将成为公司利润和营收的重要成长来源。</w:t>
      </w:r>
    </w:p>
    <w:p>
      <w:r>
        <w:rPr>
          <w:rFonts w:ascii="等线(中文正文)" w:hAnsi="等线(中文正文)" w:cs="等线(中文正文)" w:eastAsia="等线(中文正文)"/>
          <w:b w:val="false"/>
          <w:i w:val="false"/>
          <w:sz w:val="20"/>
        </w:rPr>
        <w:t/>
      </w:r>
    </w:p>
    <w:p>
      <w:pPr>
        <w:pStyle w:val="ab"/>
      </w:pPr>
      <w:r>
        <w:t>发言人1 问：截至二季度末，中继续创投资有限公司持有鹏鼎控股2400万股，成为公司第四大股东。请问中继续创投资的动机以及是否存在协同性？</w:t>
      </w:r>
    </w:p>
    <w:p>
      <w:r>
        <w:rPr>
          <w:rFonts w:ascii="等线(中文正文)" w:hAnsi="等线(中文正文)" w:cs="等线(中文正文)" w:eastAsia="等线(中文正文)"/>
          <w:b w:val="false"/>
          <w:i w:val="false"/>
          <w:sz w:val="20"/>
        </w:rPr>
        <w:t>发言人1 答：中继续创投资我们希望通过股权投资的方式加强与公司的业务合作，这是他们的投资目的。</w:t>
      </w:r>
    </w:p>
    <w:p>
      <w:r>
        <w:rPr>
          <w:rFonts w:ascii="等线(中文正文)" w:hAnsi="等线(中文正文)" w:cs="等线(中文正文)" w:eastAsia="等线(中文正文)"/>
          <w:b w:val="false"/>
          <w:i w:val="false"/>
          <w:sz w:val="20"/>
        </w:rPr>
        <w:t/>
      </w:r>
    </w:p>
    <w:p>
      <w:pPr>
        <w:pStyle w:val="ab"/>
      </w:pPr>
      <w:r>
        <w:t>发言人1 问：对于公司未来发展，特别是考虑到进入PCB领域黄金发展周期的问题，有什么需要补充的吗？</w:t>
      </w:r>
    </w:p>
    <w:p>
      <w:r>
        <w:rPr>
          <w:rFonts w:ascii="等线(中文正文)" w:hAnsi="等线(中文正文)" w:cs="等线(中文正文)" w:eastAsia="等线(中文正文)"/>
          <w:b w:val="false"/>
          <w:i w:val="false"/>
          <w:sz w:val="20"/>
        </w:rPr>
        <w:t>发言人1 答：进入下半年后，随着传统旺季的到来，我们相信公司整体状况会进一步改善。同时，明年将在算力领域进入高成长期，希望投资者持续关注。未来5到10年，我们对PCB行业保持黄金发展周期充满信心，并致力于在这轮周期中打造第二增长曲线，期待得到更多投资者的支持。</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2026-08-13T02:55:23Z</dcterms:created>
  <dc:creator>Apache POI</dc:creator>
</cp:coreProperties>
</file>