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东吴固收 - 研究有深度：海外科技巨头债券融资路径演变案例复盘之半导体行业 260812_导读</w:t>
      </w:r>
    </w:p>
    <w:p>
      <w:pPr>
        <w:pStyle w:val="a0"/>
        <w:jc w:val="center"/>
      </w:pPr>
      <w:r>
        <w:t>2026年08月13日 07:33</w:t>
      </w:r>
    </w:p>
    <w:p>
      <w:pPr>
        <w:pStyle w:val="a7"/>
      </w:pPr>
      <w:r>
        <w:t>关键词</w:t>
      </w:r>
    </w:p>
    <w:p>
      <w:r>
        <w:rPr>
          <w:rFonts w:ascii="等线(中文正文)" w:hAnsi="等线(中文正文)" w:cs="等线(中文正文)" w:eastAsia="等线(中文正文)"/>
          <w:b w:val="false"/>
          <w:i w:val="false"/>
          <w:sz w:val="20"/>
        </w:rPr>
        <w:t xml:space="preserve">参会密码 会议即将开始 债券融资 半导体行业 信用债分析师 徐晶晶 自主可控 资本密集 技术壁垒 长投资周期 债券市场 融资瓶颈 海力士 阿斯麦 博通 存储解决方案 光刻设备 战略并购 信用资质 偿债能力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文探讨了三家企业——全球领先的半导体存储解决方案供应商、全球半导体光刻设备领域的龙头企业以及全球领先的半导体芯片和基础设施软件解决方案供应商——在不同发展阶段的债券融资路径与策略。讨论强调了技术迭代、产能扩张、战略转型过程中的债券融资应用，以及通过资本结构优化和融资策略适应市场变化，强化竞争优势的重要性。同时，文章还提及了维护公司与投资者关系的策略，如合法合规的会议流程和对投资人的尊重与感谢，体现了企业在融资策略上的多样性以及成功跨足不同技术领域的关键因素。</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财经电话会议系统启动与注意事项</w:t>
      </w:r>
    </w:p>
    <w:p>
      <w:r>
        <w:rPr>
          <w:rFonts w:ascii="等线(中文正文)" w:hAnsi="等线(中文正文)" w:cs="等线(中文正文)" w:eastAsia="等线(中文正文)"/>
          <w:b w:val="false"/>
          <w:i w:val="false"/>
          <w:sz w:val="20"/>
        </w:rPr>
        <w:t>对话围绕财经电话会议系统的启动流程展开，提醒所有参与者已成功加入会议，并多次强调会议即将开始，要求大家保持在线等待。此外，还提到了关注公众号获取更多纪要信息的途径。</w:t>
      </w:r>
    </w:p>
    <w:p>
      <w:r>
        <w:rPr>
          <w:rFonts w:ascii="等线(中文正文)" w:hAnsi="等线(中文正文)" w:cs="等线(中文正文)" w:eastAsia="等线(中文正文)"/>
          <w:b w:val="false"/>
          <w:i w:val="false"/>
          <w:sz w:val="20"/>
        </w:rPr>
        <w:t/>
      </w:r>
    </w:p>
    <w:p>
      <w:pPr>
        <w:pStyle w:val="ab"/>
        <w:numPr>
          <w:numId w:val="2"/>
        </w:numPr>
      </w:pPr>
      <w:r>
        <w:t>14:36 海外半导体巨头债券融资路径复盘</w:t>
      </w:r>
    </w:p>
    <w:p>
      <w:r>
        <w:rPr>
          <w:rFonts w:ascii="等线(中文正文)" w:hAnsi="等线(中文正文)" w:cs="等线(中文正文)" w:eastAsia="等线(中文正文)"/>
          <w:b w:val="false"/>
          <w:i w:val="false"/>
          <w:sz w:val="20"/>
        </w:rPr>
        <w:t>分享聚焦于海力士、阿斯麦和博通等海外顶尖半导体企业债券融资路径的演变，旨在为我国半导体行业，尤其是民营高成长企业，提供融资策略优化与资本结构改善的海外经验参考，同时探索债券市场在半导体领域的一级发行创新与二级市场投资价值挖掘的新思路。</w:t>
      </w:r>
    </w:p>
    <w:p>
      <w:r>
        <w:rPr>
          <w:rFonts w:ascii="等线(中文正文)" w:hAnsi="等线(中文正文)" w:cs="等线(中文正文)" w:eastAsia="等线(中文正文)"/>
          <w:b w:val="false"/>
          <w:i w:val="false"/>
          <w:sz w:val="20"/>
        </w:rPr>
        <w:t/>
      </w:r>
    </w:p>
    <w:p>
      <w:pPr>
        <w:pStyle w:val="ab"/>
        <w:numPr>
          <w:numId w:val="3"/>
        </w:numPr>
      </w:pPr>
      <w:r>
        <w:t>20:08 海力士发展历程与融资策略分析</w:t>
      </w:r>
    </w:p>
    <w:p>
      <w:r>
        <w:rPr>
          <w:rFonts w:ascii="等线(中文正文)" w:hAnsi="等线(中文正文)" w:cs="等线(中文正文)" w:eastAsia="等线(中文正文)"/>
          <w:b w:val="false"/>
          <w:i w:val="false"/>
          <w:sz w:val="20"/>
        </w:rPr>
        <w:t>海力士的发展路径可概括为技术迭代与产能扩张双轮驱动，历经初创奠基、规模扩张、战略转型至AI赋能四个阶段。其融资策略从点状试探性融资升级至常态化、规模化和多元化，精准用于并购、产扩张、研发及HBN赛道布局，与各阶段战略需求、信用资质及宏观金融环境紧密相连。</w:t>
      </w:r>
    </w:p>
    <w:p>
      <w:r>
        <w:rPr>
          <w:rFonts w:ascii="等线(中文正文)" w:hAnsi="等线(中文正文)" w:cs="等线(中文正文)" w:eastAsia="等线(中文正文)"/>
          <w:b w:val="false"/>
          <w:i w:val="false"/>
          <w:sz w:val="20"/>
        </w:rPr>
        <w:t/>
      </w:r>
    </w:p>
    <w:p>
      <w:pPr>
        <w:pStyle w:val="ab"/>
        <w:numPr>
          <w:numId w:val="4"/>
        </w:numPr>
      </w:pPr>
      <w:r>
        <w:t>22:39 公司债券融资策略的演变与优化</w:t>
      </w:r>
    </w:p>
    <w:p>
      <w:r>
        <w:rPr>
          <w:rFonts w:ascii="等线(中文正文)" w:hAnsi="等线(中文正文)" w:cs="等线(中文正文)" w:eastAsia="等线(中文正文)"/>
          <w:b w:val="false"/>
          <w:i w:val="false"/>
          <w:sz w:val="20"/>
        </w:rPr>
        <w:t>从2007年至2025年，公司经历了从点状试探性融资到常态化与成本优化，再到AI赋能期的高频化与战略化三个阶段。初期，公司通过低频、高利率的长期债券满足重大资本支出需求；中期，随着信用资质提升和全球低利率环境，发行频率增加，期限缩短，利率显著下降；近期，为应对AI和HBM需求增长，公司频繁发行多元化期限的债券，利率波动加大，但凭借市场地位维持了较低的发行利差，优化了债务结构，支持了产能扩张和技术迭代。</w:t>
      </w:r>
    </w:p>
    <w:p>
      <w:r>
        <w:rPr>
          <w:rFonts w:ascii="等线(中文正文)" w:hAnsi="等线(中文正文)" w:cs="等线(中文正文)" w:eastAsia="等线(中文正文)"/>
          <w:b w:val="false"/>
          <w:i w:val="false"/>
          <w:sz w:val="20"/>
        </w:rPr>
        <w:t/>
      </w:r>
    </w:p>
    <w:p>
      <w:pPr>
        <w:pStyle w:val="ab"/>
        <w:numPr>
          <w:numId w:val="5"/>
        </w:numPr>
      </w:pPr>
      <w:r>
        <w:t>28:16 海力士债券融资策略与成长路径的协同效应</w:t>
      </w:r>
    </w:p>
    <w:p>
      <w:r>
        <w:rPr>
          <w:rFonts w:ascii="等线(中文正文)" w:hAnsi="等线(中文正文)" w:cs="等线(中文正文)" w:eastAsia="等线(中文正文)"/>
          <w:b w:val="false"/>
          <w:i w:val="false"/>
          <w:sz w:val="20"/>
        </w:rPr>
        <w:t>通过对比公司长期借贷与股权融资指标，分析了海力士在成长过程中对内生盈利积累和股权融资的依赖，以及债券融资在匹配特定项目需求、优化资本结构和助力业务增长方面的作用。强调了海力士债券融资策略与其发展战略的协同性，指出债券融资在不同发展阶段的角色转变，及其在AI赋能阶段形成的飞轮效应，加速技术优势向市场优势的转化，助力公司在半导体行业中的持续成长与竞争优势。</w:t>
      </w:r>
    </w:p>
    <w:p>
      <w:r>
        <w:rPr>
          <w:rFonts w:ascii="等线(中文正文)" w:hAnsi="等线(中文正文)" w:cs="等线(中文正文)" w:eastAsia="等线(中文正文)"/>
          <w:b w:val="false"/>
          <w:i w:val="false"/>
          <w:sz w:val="20"/>
        </w:rPr>
        <w:t/>
      </w:r>
    </w:p>
    <w:p>
      <w:pPr>
        <w:pStyle w:val="ab"/>
        <w:numPr>
          <w:numId w:val="6"/>
        </w:numPr>
      </w:pPr>
      <w:r>
        <w:t>32:02 阿斯麦技术聚焦与战略抉择的全球领军之路</w:t>
      </w:r>
    </w:p>
    <w:p>
      <w:r>
        <w:rPr>
          <w:rFonts w:ascii="等线(中文正文)" w:hAnsi="等线(中文正文)" w:cs="等线(中文正文)" w:eastAsia="等线(中文正文)"/>
          <w:b w:val="false"/>
          <w:i w:val="false"/>
          <w:sz w:val="20"/>
        </w:rPr>
        <w:t>通过极致的技术聚焦与前瞻性的战略抉择，阿斯麦在光刻技术领域实现了从DUB到EUV的跨越，历经十年攻坚，成功突破7纳米以下先进制程，形成绝对垄断。当前，公司持续探索下一代技术，深化与上下游生态绑定，不断加高技术与市场壁垒，巩固其在半导体光刻设备领域的领军地位。</w:t>
      </w:r>
    </w:p>
    <w:p>
      <w:r>
        <w:rPr>
          <w:rFonts w:ascii="等线(中文正文)" w:hAnsi="等线(中文正文)" w:cs="等线(中文正文)" w:eastAsia="等线(中文正文)"/>
          <w:b w:val="false"/>
          <w:i w:val="false"/>
          <w:sz w:val="20"/>
        </w:rPr>
        <w:t/>
      </w:r>
    </w:p>
    <w:p>
      <w:pPr>
        <w:pStyle w:val="ab"/>
        <w:numPr>
          <w:numId w:val="7"/>
        </w:numPr>
      </w:pPr>
      <w:r>
        <w:t>33:08 阿斯麦公司债券融资策略演变分析</w:t>
      </w:r>
    </w:p>
    <w:p>
      <w:r>
        <w:rPr>
          <w:rFonts w:ascii="等线(中文正文)" w:hAnsi="等线(中文正文)" w:cs="等线(中文正文)" w:eastAsia="等线(中文正文)"/>
          <w:b w:val="false"/>
          <w:i w:val="false"/>
          <w:sz w:val="20"/>
        </w:rPr>
        <w:t>阿斯麦公司的发展历程分为困境突围期、技术垄断期和生态保定期三个阶段，其债券融资策略也经历了从点状发行长期债券支持研发，到大规模锁定低成本资金，再到灵活应对加息周期的转变。公司凭借行业领先地位和良好信用资质，在不同利率周期下均能有效管理融资成本，展现出强大的资金管理和市场适应能力。</w:t>
      </w:r>
    </w:p>
    <w:p>
      <w:r>
        <w:rPr>
          <w:rFonts w:ascii="等线(中文正文)" w:hAnsi="等线(中文正文)" w:cs="等线(中文正文)" w:eastAsia="等线(中文正文)"/>
          <w:b w:val="false"/>
          <w:i w:val="false"/>
          <w:sz w:val="20"/>
        </w:rPr>
        <w:t/>
      </w:r>
    </w:p>
    <w:p>
      <w:pPr>
        <w:pStyle w:val="ab"/>
        <w:numPr>
          <w:numId w:val="8"/>
        </w:numPr>
      </w:pPr>
      <w:r>
        <w:t>39:05 公司融资策略与技术发展周期的协同作用</w:t>
      </w:r>
    </w:p>
    <w:p>
      <w:r>
        <w:rPr>
          <w:rFonts w:ascii="等线(中文正文)" w:hAnsi="等线(中文正文)" w:cs="等线(中文正文)" w:eastAsia="等线(中文正文)"/>
          <w:b w:val="false"/>
          <w:i w:val="false"/>
          <w:sz w:val="20"/>
        </w:rPr>
        <w:t>对话讨论了公司如何通过权益资本积累和适时的债券融资策略，维持财务稳健并支持长期战略目标。阿斯麦在技术攻坚期通过发行长债匹配研发周期，保证财务稳定性，技术优势转化为信用优势，进一步以低成本资金支持下一代技术研发和产能扩张，形成技术优势到信用优势再到成本优势的闭环，强化了市场垄断地位。</w:t>
      </w:r>
    </w:p>
    <w:p>
      <w:r>
        <w:rPr>
          <w:rFonts w:ascii="等线(中文正文)" w:hAnsi="等线(中文正文)" w:cs="等线(中文正文)" w:eastAsia="等线(中文正文)"/>
          <w:b w:val="false"/>
          <w:i w:val="false"/>
          <w:sz w:val="20"/>
        </w:rPr>
        <w:t/>
      </w:r>
    </w:p>
    <w:p>
      <w:pPr>
        <w:pStyle w:val="ab"/>
        <w:numPr>
          <w:numId w:val="9"/>
        </w:numPr>
      </w:pPr>
      <w:r>
        <w:t>42:42 博通：从并购驱动到生态闭环的科技巨头成长之路</w:t>
      </w:r>
    </w:p>
    <w:p>
      <w:r>
        <w:rPr>
          <w:rFonts w:ascii="等线(中文正文)" w:hAnsi="等线(中文正文)" w:cs="等线(中文正文)" w:eastAsia="等线(中文正文)"/>
          <w:b w:val="false"/>
          <w:i w:val="false"/>
          <w:sz w:val="20"/>
        </w:rPr>
        <w:t>博通通过并购驱动型成长战略，从半导体领域的横向整合到跨界的高毛利基础设施软件领域并购，构建了芯片硬件与软件双主业协同的生态体系，实现了向平台型科技巨头的战略蜕变。其资本结构特征为债务承接、并购对价、权益积累支撑整合落地，发债节奏与并购节点高度同步，支撑了从细分半导体厂商到全球芯片加企业软件生态巨头的转型。</w:t>
      </w:r>
    </w:p>
    <w:p>
      <w:r>
        <w:rPr>
          <w:rFonts w:ascii="等线(中文正文)" w:hAnsi="等线(中文正文)" w:cs="等线(中文正文)" w:eastAsia="等线(中文正文)"/>
          <w:b w:val="false"/>
          <w:i w:val="false"/>
          <w:sz w:val="20"/>
        </w:rPr>
        <w:t/>
      </w:r>
    </w:p>
    <w:p>
      <w:pPr>
        <w:pStyle w:val="ab"/>
        <w:numPr>
          <w:numId w:val="10"/>
        </w:numPr>
      </w:pPr>
      <w:r>
        <w:t>44:38 博通并购扩张与债券融资策略分析</w:t>
      </w:r>
    </w:p>
    <w:p>
      <w:r>
        <w:rPr>
          <w:rFonts w:ascii="等线(中文正文)" w:hAnsi="等线(中文正文)" w:cs="等线(中文正文)" w:eastAsia="等线(中文正文)"/>
          <w:b w:val="false"/>
          <w:i w:val="false"/>
          <w:sz w:val="20"/>
        </w:rPr>
        <w:t>从14年到19年，博通从内生增长转向外延并购，债券融资服务于特定并购项目，发行频率低，期限中长期为主，利率成本可控。20年起，进入生态布局和债务管理深化期，债券融资高频化、规模化，期限结构多元化，主动管理长期低成本资金与短期流动性风险，信用利差优势明显，融资策略与并购战略高度耦合。</w:t>
      </w:r>
    </w:p>
    <w:p>
      <w:r>
        <w:rPr>
          <w:rFonts w:ascii="等线(中文正文)" w:hAnsi="等线(中文正文)" w:cs="等线(中文正文)" w:eastAsia="等线(中文正文)"/>
          <w:b w:val="false"/>
          <w:i w:val="false"/>
          <w:sz w:val="20"/>
        </w:rPr>
        <w:t/>
      </w:r>
    </w:p>
    <w:p>
      <w:pPr>
        <w:pStyle w:val="ab"/>
        <w:numPr>
          <w:numId w:val="11"/>
        </w:numPr>
      </w:pPr>
      <w:r>
        <w:t>48:42 博通债务驱动型并购整合模式分析</w:t>
      </w:r>
    </w:p>
    <w:p>
      <w:r>
        <w:rPr>
          <w:rFonts w:ascii="等线(中文正文)" w:hAnsi="等线(中文正文)" w:cs="等线(中文正文)" w:eastAsia="等线(中文正文)"/>
          <w:b w:val="false"/>
          <w:i w:val="false"/>
          <w:sz w:val="20"/>
        </w:rPr>
        <w:t>对话深入探讨了博通的债务驱动型并购整合模式，指出其债券融资主要用于支付并购对价和优化债务结构，而非内生性资本开支。该模式通过并购现金流增强信用资质和财务弹性，支持公司快速扩张和下一轮杠杆收购。债券市场融资能力成为博通技术整合能力之外的核心竞争力，实现外延式扩张与内部信用基础的互为表里。</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首先主持了一场财经电话会议，详细指导了参会者如何输入密码、成功加入会议并表达了对大家参与的感谢。会议前，他多次提醒大家会议即将开始，请大家稍后。会议内容聚焦于海外科技巨头债券融资路径的演变，特别以半导体行业为例，深入分析了海力士、阿斯麦和博通三家公司的债券融资策略及其对战略实施和业务增长的协同效应。他讲解了这些公司在不同发展阶段的融资策略，包括发行频率、期限、利率的变化，并强调了债券融资对公司成长和战略落地的积极作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问：在25年国内债券市场对半导体企业的支持情况如何，存在哪些结构性问题？复盘海外成熟市场的海力士、阿斯曼和博通三家公司的债券融资轨迹是为了什么目的？</w:t>
      </w:r>
    </w:p>
    <w:p>
      <w:r>
        <w:rPr>
          <w:rFonts w:ascii="等线(中文正文)" w:hAnsi="等线(中文正文)" w:cs="等线(中文正文)" w:eastAsia="等线(中文正文)"/>
          <w:b w:val="false"/>
          <w:i w:val="false"/>
          <w:sz w:val="20"/>
        </w:rPr>
        <w:t>发言人1 答：尽管国内债券科技板已将半导体企业纳入重点支持范畴，但债券市场的服务能力与产业质量需求间仍存在结构性错配。具体表现为，国有背景龙头企业是发行主体，而大量技术攻坚期的民营半导体公司在利用债券市场优化资本结构方面面临困难，导致融资瓶颈，严重制约了我国半导体产业全面突破。复盘这三家公司的债券融资历程，旨在分析他们在不同发展阶段对债券工具的运用策略，探索发债融资到战略落地再到业务增长之间的协同逻辑，为我国民营高成长半导体企业提供拓展融资视野、优化资本结构的海外经验，并为债券市场提供创新与价值挖掘的新思路和方向。</w:t>
      </w:r>
    </w:p>
    <w:p>
      <w:r>
        <w:rPr>
          <w:rFonts w:ascii="等线(中文正文)" w:hAnsi="等线(中文正文)" w:cs="等线(中文正文)" w:eastAsia="等线(中文正文)"/>
          <w:b w:val="false"/>
          <w:i w:val="false"/>
          <w:sz w:val="20"/>
        </w:rPr>
        <w:t/>
      </w:r>
    </w:p>
    <w:p>
      <w:pPr>
        <w:pStyle w:val="ab"/>
      </w:pPr>
      <w:r>
        <w:t>发言人1 问：复盘的三家公司分别是哪些？它们的基本情况如何？</w:t>
      </w:r>
    </w:p>
    <w:p>
      <w:r>
        <w:rPr>
          <w:rFonts w:ascii="等线(中文正文)" w:hAnsi="等线(中文正文)" w:cs="等线(中文正文)" w:eastAsia="等线(中文正文)"/>
          <w:b w:val="false"/>
          <w:i w:val="false"/>
          <w:sz w:val="20"/>
        </w:rPr>
        <w:t>发言人1 答：复盘的三家公司分别是亚洲的海力士（全球领先的半导体存储解决方案供应商）、欧洲的阿斯曼（全球半导体光刻设备龙头企业）和美国的博通（全球领先的半导体芯片和基础设施软件解决方案供应商，以半导体和软件融合为核心业务，通过战略并购实现双主业格局）。</w:t>
      </w:r>
    </w:p>
    <w:p>
      <w:r>
        <w:rPr>
          <w:rFonts w:ascii="等线(中文正文)" w:hAnsi="等线(中文正文)" w:cs="等线(中文正文)" w:eastAsia="等线(中文正文)"/>
          <w:b w:val="false"/>
          <w:i w:val="false"/>
          <w:sz w:val="20"/>
        </w:rPr>
        <w:t/>
      </w:r>
    </w:p>
    <w:p>
      <w:pPr>
        <w:pStyle w:val="ab"/>
      </w:pPr>
      <w:r>
        <w:t>发言人1 问：海力士的发展路径可以如何划分，并简述各阶段特点？</w:t>
      </w:r>
    </w:p>
    <w:p>
      <w:r>
        <w:rPr>
          <w:rFonts w:ascii="等线(中文正文)" w:hAnsi="等线(中文正文)" w:cs="等线(中文正文)" w:eastAsia="等线(中文正文)"/>
          <w:b w:val="false"/>
          <w:i w:val="false"/>
          <w:sz w:val="20"/>
        </w:rPr>
        <w:t>发言人1 答：海力士的发展路径大致分为四个阶段：初创奠基阶段（1983年-1998年），通过技术原始积累和关键并购确立市场地位；规模扩张阶段（1999年-2011年），通过产能扩张和并购实现规模增长；战略转型阶段（2012年-2020年），借助母集团支持前瞻布局前沿技术如HBM，并成功实现从存储龙头向AI核心配套供应商的战略升级；AI赋能阶段（2021年至今），通过持续战略并购和研发，进一步强化自身优势。</w:t>
      </w:r>
    </w:p>
    <w:p>
      <w:r>
        <w:rPr>
          <w:rFonts w:ascii="等线(中文正文)" w:hAnsi="等线(中文正文)" w:cs="等线(中文正文)" w:eastAsia="等线(中文正文)"/>
          <w:b w:val="false"/>
          <w:i w:val="false"/>
          <w:sz w:val="20"/>
        </w:rPr>
        <w:t/>
      </w:r>
    </w:p>
    <w:p>
      <w:pPr>
        <w:pStyle w:val="ab"/>
      </w:pPr>
      <w:r>
        <w:t>发言人1 问：海力士的债券融资策略经历了怎样的演变过程？</w:t>
      </w:r>
    </w:p>
    <w:p>
      <w:r>
        <w:rPr>
          <w:rFonts w:ascii="等线(中文正文)" w:hAnsi="等线(中文正文)" w:cs="等线(中文正文)" w:eastAsia="等线(中文正文)"/>
          <w:b w:val="false"/>
          <w:i w:val="false"/>
          <w:sz w:val="20"/>
        </w:rPr>
        <w:t>发言人1 答：海力士的债券融资策略从初创时期的点状试探性融资，逐步过渡到常态化、规模化和多元化战略融资。债券发行频率、期限和票面利率等方面反映出公司发展阶段的战略需求、信用资质和宏观金融环境的变化。规模扩张期以中长期、高票面利率为主，满足大规模资本需求；战略转型期债券融资常态化且注重成本优化，债券期限组合更加灵活，票面利率显著降低；AI赋能期则呈现高频化和战略化的特征。</w:t>
      </w:r>
    </w:p>
    <w:p>
      <w:r>
        <w:rPr>
          <w:rFonts w:ascii="等线(中文正文)" w:hAnsi="等线(中文正文)" w:cs="等线(中文正文)" w:eastAsia="等线(中文正文)"/>
          <w:b w:val="false"/>
          <w:i w:val="false"/>
          <w:sz w:val="20"/>
        </w:rPr>
        <w:t/>
      </w:r>
    </w:p>
    <w:p>
      <w:pPr>
        <w:pStyle w:val="ab"/>
      </w:pPr>
      <w:r>
        <w:t>发言人1 问：在AI赋能和战略化阶段，公司如何通过债券融资策略应对HBM需求增长带来的资金支持需求？</w:t>
      </w:r>
    </w:p>
    <w:p>
      <w:r>
        <w:rPr>
          <w:rFonts w:ascii="等线(中文正文)" w:hAnsi="等线(中文正文)" w:cs="等线(中文正文)" w:eastAsia="等线(中文正文)"/>
          <w:b w:val="false"/>
          <w:i w:val="false"/>
          <w:sz w:val="20"/>
        </w:rPr>
        <w:t>发言人1 答：公司在2021年至2025年间，将债券融资策略提升至新阶段，以应对HBM需求高增对产能扩张和技术迭代所需的大量灵活资金支持。期间，债券发行频率密集且高发，年均发行达到3到5支，表明债券市场已成为公司实施AI加HBM双轮驱动战略的核心融资渠道。</w:t>
      </w:r>
    </w:p>
    <w:p>
      <w:r>
        <w:rPr>
          <w:rFonts w:ascii="等线(中文正文)" w:hAnsi="等线(中文正文)" w:cs="等线(中文正文)" w:eastAsia="等线(中文正文)"/>
          <w:b w:val="false"/>
          <w:i w:val="false"/>
          <w:sz w:val="20"/>
        </w:rPr>
        <w:t/>
      </w:r>
    </w:p>
    <w:p>
      <w:pPr>
        <w:pStyle w:val="ab"/>
      </w:pPr>
      <w:r>
        <w:t>发言人1 问：公司在债券期限上采取了何种策略？</w:t>
      </w:r>
    </w:p>
    <w:p>
      <w:r>
        <w:rPr>
          <w:rFonts w:ascii="等线(中文正文)" w:hAnsi="等线(中文正文)" w:cs="等线(中文正文)" w:eastAsia="等线(中文正文)"/>
          <w:b w:val="false"/>
          <w:i w:val="false"/>
          <w:sz w:val="20"/>
        </w:rPr>
        <w:t>发言人1 答：公司在发行期限上实现了多元化，混合了三年、五年、七年、十年等多种期限债券，加权平均期限在4到7年之间波动。这种期限组合灵活性不仅满足了当下紧急的资本开支和流动性管理需求，还有效避免了未来债务到期过于集中的风险，优化了公司的整体债务结构。</w:t>
      </w:r>
    </w:p>
    <w:p>
      <w:r>
        <w:rPr>
          <w:rFonts w:ascii="等线(中文正文)" w:hAnsi="等线(中文正文)" w:cs="等线(中文正文)" w:eastAsia="等线(中文正文)"/>
          <w:b w:val="false"/>
          <w:i w:val="false"/>
          <w:sz w:val="20"/>
        </w:rPr>
        <w:t/>
      </w:r>
    </w:p>
    <w:p>
      <w:pPr>
        <w:pStyle w:val="ab"/>
      </w:pPr>
      <w:r>
        <w:t>发言人1 问：近年来公司债券票面利率有何变化？</w:t>
      </w:r>
    </w:p>
    <w:p>
      <w:r>
        <w:rPr>
          <w:rFonts w:ascii="等线(中文正文)" w:hAnsi="等线(中文正文)" w:cs="等线(中文正文)" w:eastAsia="等线(中文正文)"/>
          <w:b w:val="false"/>
          <w:i w:val="false"/>
          <w:sz w:val="20"/>
        </w:rPr>
        <w:t>发言人1 答：公司的票面利率波动幅度增大，从21年的低点1.75%上升至24年的5.5%，这是受宏观利率环境对公司债券融资成本决定性影响的表现。尽管利率上行，但公司的发行利差仅由21年的127个BP小幅走扩至24年的155个BP，显示其凭借垄断地位和AI核心供应商身份，在资本市场的溢价能力得以保障，仍能以相对合理的利率水平进行募资。</w:t>
      </w:r>
    </w:p>
    <w:p>
      <w:r>
        <w:rPr>
          <w:rFonts w:ascii="等线(中文正文)" w:hAnsi="等线(中文正文)" w:cs="等线(中文正文)" w:eastAsia="等线(中文正文)"/>
          <w:b w:val="false"/>
          <w:i w:val="false"/>
          <w:sz w:val="20"/>
        </w:rPr>
        <w:t/>
      </w:r>
    </w:p>
    <w:p>
      <w:pPr>
        <w:pStyle w:val="ab"/>
      </w:pPr>
      <w:r>
        <w:t>发言人1 问：公司的长期借贷指标与股权融资及内生增长规模之间的关系如何？</w:t>
      </w:r>
    </w:p>
    <w:p>
      <w:r>
        <w:rPr>
          <w:rFonts w:ascii="等线(中文正文)" w:hAnsi="等线(中文正文)" w:cs="等线(中文正文)" w:eastAsia="等线(中文正文)"/>
          <w:b w:val="false"/>
          <w:i w:val="false"/>
          <w:sz w:val="20"/>
        </w:rPr>
        <w:t>发言人1 答：公司的长期借贷指标（债权融资规模）约为11.35，而普通股权益总额指标（代表股权融资及内生增长规模）约为16.07，表明股权相关资本的增长速度高于债权融资增速。这反映出海力士在过去规模扩张和资本积累中，更依赖于内生盈利积累和股权融资。</w:t>
      </w:r>
    </w:p>
    <w:p>
      <w:r>
        <w:rPr>
          <w:rFonts w:ascii="等线(中文正文)" w:hAnsi="等线(中文正文)" w:cs="等线(中文正文)" w:eastAsia="等线(中文正文)"/>
          <w:b w:val="false"/>
          <w:i w:val="false"/>
          <w:sz w:val="20"/>
        </w:rPr>
        <w:t/>
      </w:r>
    </w:p>
    <w:p>
      <w:pPr>
        <w:pStyle w:val="ab"/>
      </w:pPr>
      <w:r>
        <w:t>发言人1 问：债券融资对公司的作用是什么？</w:t>
      </w:r>
    </w:p>
    <w:p>
      <w:r>
        <w:rPr>
          <w:rFonts w:ascii="等线(中文正文)" w:hAnsi="等线(中文正文)" w:cs="等线(中文正文)" w:eastAsia="等线(中文正文)"/>
          <w:b w:val="false"/>
          <w:i w:val="false"/>
          <w:sz w:val="20"/>
        </w:rPr>
        <w:t>发言人1 答：债券融资在公司发展中扮演着战略配套型角色，随着实力增强和战略需求变化，逐渐将债券市场打造成为驱动自身增长的资金双引擎之一。债券融资精准匹配了公司在成熟阶段发生的并购整合、产能扩张、技术研发等长周期大额资本支出需求，并有助于优化资本成本和基建结构。</w:t>
      </w:r>
    </w:p>
    <w:p>
      <w:r>
        <w:rPr>
          <w:rFonts w:ascii="等线(中文正文)" w:hAnsi="等线(中文正文)" w:cs="等线(中文正文)" w:eastAsia="等线(中文正文)"/>
          <w:b w:val="false"/>
          <w:i w:val="false"/>
          <w:sz w:val="20"/>
        </w:rPr>
        <w:t/>
      </w:r>
    </w:p>
    <w:p>
      <w:pPr>
        <w:pStyle w:val="ab"/>
      </w:pPr>
      <w:r>
        <w:t>发言人1 问：公司债券的主要持有者及其币种有何特点？</w:t>
      </w:r>
    </w:p>
    <w:p>
      <w:r>
        <w:rPr>
          <w:rFonts w:ascii="等线(中文正文)" w:hAnsi="等线(中文正文)" w:cs="等线(中文正文)" w:eastAsia="等线(中文正文)"/>
          <w:b w:val="false"/>
          <w:i w:val="false"/>
          <w:sz w:val="20"/>
        </w:rPr>
        <w:t>发言人1 答：公司债券主要持有者多元，美元债券主要由美国本土共同基金管理公司持有，欧元债券主要由欧洲保险公司、养老基金和主权基金持有，本币债券（韩元）则主要由韩国本土机构投资者持有。这一多元化的买方结构体现了公司债券融资策略与其发展战略路径之间的协同性。</w:t>
      </w:r>
    </w:p>
    <w:p>
      <w:r>
        <w:rPr>
          <w:rFonts w:ascii="等线(中文正文)" w:hAnsi="等线(中文正文)" w:cs="等线(中文正文)" w:eastAsia="等线(中文正文)"/>
          <w:b w:val="false"/>
          <w:i w:val="false"/>
          <w:sz w:val="20"/>
        </w:rPr>
        <w:t/>
      </w:r>
    </w:p>
    <w:p>
      <w:pPr>
        <w:pStyle w:val="ab"/>
      </w:pPr>
      <w:r>
        <w:t>发言人1 问：公司债券融资策略随发展阶段是如何演变的？</w:t>
      </w:r>
    </w:p>
    <w:p>
      <w:r>
        <w:rPr>
          <w:rFonts w:ascii="等线(中文正文)" w:hAnsi="等线(中文正文)" w:cs="等线(中文正文)" w:eastAsia="等线(中文正文)"/>
          <w:b w:val="false"/>
          <w:i w:val="false"/>
          <w:sz w:val="20"/>
        </w:rPr>
        <w:t>发言人1 答：在发展初期，债权融资并非公司资本结构的核心，而是作为精准匹配重资产项目的专用工具。随着SK集团入主和市场地位稳固，债券融资转变为稳定的可预期资金来源，持续助力公司长周期高投入项目及日常营运周转。进入AI赋能阶段，债券融资与业务增长形成紧密的飞轮效应，有效支撑公司扩大产能和技术优势转化为市场优势。</w:t>
      </w:r>
    </w:p>
    <w:p>
      <w:r>
        <w:rPr>
          <w:rFonts w:ascii="等线(中文正文)" w:hAnsi="等线(中文正文)" w:cs="等线(中文正文)" w:eastAsia="等线(中文正文)"/>
          <w:b w:val="false"/>
          <w:i w:val="false"/>
          <w:sz w:val="20"/>
        </w:rPr>
        <w:t/>
      </w:r>
    </w:p>
    <w:p>
      <w:pPr>
        <w:pStyle w:val="ab"/>
      </w:pPr>
      <w:r>
        <w:t>发言人1 问：阿斯麦的发展路径和关键战略决策是什么？</w:t>
      </w:r>
    </w:p>
    <w:p>
      <w:r>
        <w:rPr>
          <w:rFonts w:ascii="等线(中文正文)" w:hAnsi="等线(中文正文)" w:cs="等线(中文正文)" w:eastAsia="等线(中文正文)"/>
          <w:b w:val="false"/>
          <w:i w:val="false"/>
          <w:sz w:val="20"/>
        </w:rPr>
        <w:t>发言人1 答：阿斯麦通过极致的技术聚焦和前瞻的战略抉择，成功跻身全球行业头部地位。其核心战略拐点在于当行业头部公司固守DUV技术路线时，阿斯麦押注于当时前景不明但代表未来的EUV光刻技术研发生产，并历经十年持续攻坚取得技术突破，形成对7纳米以下先进制程光刻设备的绝对垄断。公司不断探索下一代技术并与上下游深度绑定，构建起技术壁垒和市场壁垒，巩固其在半导体光刻设备的领军地位。</w:t>
      </w:r>
    </w:p>
    <w:p>
      <w:r>
        <w:rPr>
          <w:rFonts w:ascii="等线(中文正文)" w:hAnsi="等线(中文正文)" w:cs="等线(中文正文)" w:eastAsia="等线(中文正文)"/>
          <w:b w:val="false"/>
          <w:i w:val="false"/>
          <w:sz w:val="20"/>
        </w:rPr>
        <w:t/>
      </w:r>
    </w:p>
    <w:p>
      <w:pPr>
        <w:pStyle w:val="ab"/>
      </w:pPr>
      <w:r>
        <w:t>发言人1 问：阿斯麦在债券市场的融资策略可以如何划分阶段，并描述每个阶段的特点？第一阶段债券融资的成本变化如何？</w:t>
      </w:r>
    </w:p>
    <w:p>
      <w:r>
        <w:rPr>
          <w:rFonts w:ascii="等线(中文正文)" w:hAnsi="等线(中文正文)" w:cs="等线(中文正文)" w:eastAsia="等线(中文正文)"/>
          <w:b w:val="false"/>
          <w:i w:val="false"/>
          <w:sz w:val="20"/>
        </w:rPr>
        <w:t>发言人1 答：阿斯麦的债券市场融资策略可分为三个阶段。第一阶段是在2007年至2013年，公司进入技术垄断期的战略性试水阶段，主要为了压住关键的EVV技术，发行债券是为了提供耐心资本，以配合超长周期的研发活动，特点是发行频率低、发行期限长（十年），并追求大规模、长期的资金支持。第一阶段中，债券利率由高走低，从2007年的5.75%下降到2013年的3.375%，这反映了市场对EVB技术风险溢价的调整以及公司信用资质的提升。</w:t>
      </w:r>
    </w:p>
    <w:p>
      <w:r>
        <w:rPr>
          <w:rFonts w:ascii="等线(中文正文)" w:hAnsi="等线(中文正文)" w:cs="等线(中文正文)" w:eastAsia="等线(中文正文)"/>
          <w:b w:val="false"/>
          <w:i w:val="false"/>
          <w:sz w:val="20"/>
        </w:rPr>
        <w:t/>
      </w:r>
    </w:p>
    <w:p>
      <w:pPr>
        <w:pStyle w:val="ab"/>
      </w:pPr>
      <w:r>
        <w:t>发言人1 问：第二阶段（2013年至2020年）的债券融资策略有何变化及原因？第三阶段（2021年至今）阿斯麦的债券融资策略有何调整及原因？</w:t>
      </w:r>
    </w:p>
    <w:p>
      <w:r>
        <w:rPr>
          <w:rFonts w:ascii="等线(中文正文)" w:hAnsi="等线(中文正文)" w:cs="等线(中文正文)" w:eastAsia="等线(中文正文)"/>
          <w:b w:val="false"/>
          <w:i w:val="false"/>
          <w:sz w:val="20"/>
        </w:rPr>
        <w:t>发言人1 答：第二阶段，随着EVB设备商业化成功和全球低利率甚至负利率时代到来，公司的信用评级提升，因此转向大规模锁定超低成本资金的策略，发行频率明显增加，期限仍偏好长期（加权平均发行期限约9-10年），以把握低利率窗口为未来的经营和研发锁定低成本资金。第三阶段，面对全球加息周期，阿斯麦调整为更具灵活性和前瞻性的策略，发行频率降低，开始发行短期性债券以应对利率上升，避免锁定长期高成本债务，通过短期融资满足流动性需求，并保留未来利率回落时再融资的灵活性。</w:t>
      </w:r>
    </w:p>
    <w:p>
      <w:r>
        <w:rPr>
          <w:rFonts w:ascii="等线(中文正文)" w:hAnsi="等线(中文正文)" w:cs="等线(中文正文)" w:eastAsia="等线(中文正文)"/>
          <w:b w:val="false"/>
          <w:i w:val="false"/>
          <w:sz w:val="20"/>
        </w:rPr>
        <w:t/>
      </w:r>
    </w:p>
    <w:p>
      <w:pPr>
        <w:pStyle w:val="ab"/>
      </w:pPr>
      <w:r>
        <w:t>发言人1 问：阿斯麦债券融资对公司战略价值体现在哪些方面？</w:t>
      </w:r>
    </w:p>
    <w:p>
      <w:r>
        <w:rPr>
          <w:rFonts w:ascii="等线(中文正文)" w:hAnsi="等线(中文正文)" w:cs="等线(中文正文)" w:eastAsia="等线(中文正文)"/>
          <w:b w:val="false"/>
          <w:i w:val="false"/>
          <w:sz w:val="20"/>
        </w:rPr>
        <w:t>发言人1 答：阿斯麦通过债券融资在技术优势到市场垄断地位的过程中，形成了良性循环。早期通过债券融资确保研发过程中的财务稳定性，成功突破技术并确立市场地位；随着市场垄断建立，债券融资进一步帮助公司利用资本优势支持下一代技术研发和产能扩张，实现对公司核心业务和战略布局的有效反哺，从而巩固并执行长期战略，穿越技术周期。</w:t>
      </w:r>
    </w:p>
    <w:p>
      <w:r>
        <w:rPr>
          <w:rFonts w:ascii="等线(中文正文)" w:hAnsi="等线(中文正文)" w:cs="等线(中文正文)" w:eastAsia="等线(中文正文)"/>
          <w:b w:val="false"/>
          <w:i w:val="false"/>
          <w:sz w:val="20"/>
        </w:rPr>
        <w:t/>
      </w:r>
    </w:p>
    <w:p>
      <w:pPr>
        <w:pStyle w:val="ab"/>
      </w:pPr>
      <w:r>
        <w:t>发言人1 问：第一阶段债券融资的具体特征是什么？</w:t>
      </w:r>
    </w:p>
    <w:p>
      <w:r>
        <w:rPr>
          <w:rFonts w:ascii="等线(中文正文)" w:hAnsi="等线(中文正文)" w:cs="等线(中文正文)" w:eastAsia="等线(中文正文)"/>
          <w:b w:val="false"/>
          <w:i w:val="false"/>
          <w:sz w:val="20"/>
        </w:rPr>
        <w:t>发言人1 答：第一阶段债券融资的特征表现为发行频率不高，仅在2007年和2013年发行了各一只债券，且发行期限较长，为十年，目的是保障研发攻坚阶段的资金链，并尽量匹配资本期限与技术研发周期。</w:t>
      </w:r>
    </w:p>
    <w:p>
      <w:r>
        <w:rPr>
          <w:rFonts w:ascii="等线(中文正文)" w:hAnsi="等线(中文正文)" w:cs="等线(中文正文)" w:eastAsia="等线(中文正文)"/>
          <w:b w:val="false"/>
          <w:i w:val="false"/>
          <w:sz w:val="20"/>
        </w:rPr>
        <w:t/>
      </w:r>
    </w:p>
    <w:p>
      <w:pPr>
        <w:pStyle w:val="ab"/>
      </w:pPr>
      <w:r>
        <w:t>发言人1 问：阿斯麦债券融资的买方结构及总体评价如何？</w:t>
      </w:r>
    </w:p>
    <w:p>
      <w:r>
        <w:rPr>
          <w:rFonts w:ascii="等线(中文正文)" w:hAnsi="等线(中文正文)" w:cs="等线(中文正文)" w:eastAsia="等线(中文正文)"/>
          <w:b w:val="false"/>
          <w:i w:val="false"/>
          <w:sz w:val="20"/>
        </w:rPr>
        <w:t>发言人1 答：阿斯麦债券的买方结构以欧元区的传统融资工具为主，包括欧洲保险公司、养老基金、主权基金以及公募基金等。美元债券则吸引了美国的养老基金、保险以及对冲基金等机构投资者。总体来看，阿斯麦运用债券融资策略高度契合其在不同发展阶段的财务考量和战略意图，是实现关键阶段战略目标的重要金融工具，同时也作为常规流动资金补充。</w:t>
      </w:r>
    </w:p>
    <w:p>
      <w:r>
        <w:rPr>
          <w:rFonts w:ascii="等线(中文正文)" w:hAnsi="等线(中文正文)" w:cs="等线(中文正文)" w:eastAsia="等线(中文正文)"/>
          <w:b w:val="false"/>
          <w:i w:val="false"/>
          <w:sz w:val="20"/>
        </w:rPr>
        <w:t/>
      </w:r>
    </w:p>
    <w:p>
      <w:pPr>
        <w:pStyle w:val="ab"/>
      </w:pPr>
      <w:r>
        <w:t>发言人1 问：博通公司的发展路径是怎样的？</w:t>
      </w:r>
    </w:p>
    <w:p>
      <w:r>
        <w:rPr>
          <w:rFonts w:ascii="等线(中文正文)" w:hAnsi="等线(中文正文)" w:cs="等线(中文正文)" w:eastAsia="等线(中文正文)"/>
          <w:b w:val="false"/>
          <w:i w:val="false"/>
          <w:sz w:val="20"/>
        </w:rPr>
        <w:t>发言人1 答：博通公司的发展路径以并购驱动为主，初期聚焦半导体领域的横向整合，通过杠杆收购扩大市场份额。之后识别到行业周期性风险，开始向基础设施软件领域跨界并购，并构建起半导体芯片硬件与基础设施软件双主业协同的生态体系，成功转型为平台型科技巨头。</w:t>
      </w:r>
    </w:p>
    <w:p>
      <w:r>
        <w:rPr>
          <w:rFonts w:ascii="等线(中文正文)" w:hAnsi="等线(中文正文)" w:cs="等线(中文正文)" w:eastAsia="等线(中文正文)"/>
          <w:b w:val="false"/>
          <w:i w:val="false"/>
          <w:sz w:val="20"/>
        </w:rPr>
        <w:t/>
      </w:r>
    </w:p>
    <w:p>
      <w:pPr>
        <w:pStyle w:val="ab"/>
      </w:pPr>
      <w:r>
        <w:t>发言人1 问：博通的发展历程可以划分为哪些阶段？博通的融资策略与并购战略主线有何关联？</w:t>
      </w:r>
    </w:p>
    <w:p>
      <w:r>
        <w:rPr>
          <w:rFonts w:ascii="等线(中文正文)" w:hAnsi="等线(中文正文)" w:cs="等线(中文正文)" w:eastAsia="等线(中文正文)"/>
          <w:b w:val="false"/>
          <w:i w:val="false"/>
          <w:sz w:val="20"/>
        </w:rPr>
        <w:t>发言人1 答：博通的发展历程可分为三个阶段：91年到13年的并购扩张期，13年到18年的技术整合期，以及18年至今的芯片加软件生态闭环期。博通的融资策略与并购驱动战略主线高度耦合，债券资金在其发展过程中起到了关键作用，从补充性研发融资升级为并购驱动型规模化融资，发债节奏与并购节点高度同步。</w:t>
      </w:r>
    </w:p>
    <w:p>
      <w:r>
        <w:rPr>
          <w:rFonts w:ascii="等线(中文正文)" w:hAnsi="等线(中文正文)" w:cs="等线(中文正文)" w:eastAsia="等线(中文正文)"/>
          <w:b w:val="false"/>
          <w:i w:val="false"/>
          <w:sz w:val="20"/>
        </w:rPr>
        <w:t/>
      </w:r>
    </w:p>
    <w:p>
      <w:pPr>
        <w:pStyle w:val="ab"/>
      </w:pPr>
      <w:r>
        <w:t>发言人1 问：博通在14年到19年的并购扩张启动期，债券融资有何特点？</w:t>
      </w:r>
    </w:p>
    <w:p>
      <w:r>
        <w:rPr>
          <w:rFonts w:ascii="等线(中文正文)" w:hAnsi="等线(中文正文)" w:cs="等线(中文正文)" w:eastAsia="等线(中文正文)"/>
          <w:b w:val="false"/>
          <w:i w:val="false"/>
          <w:sz w:val="20"/>
        </w:rPr>
        <w:t>发言人1 答：在14年到19年的并购扩张启动期，博通债券融资表现为发行频率较低，主要为特定大型并购项目提供定向资金支持，期限结构以中长期为主，票面利率成本相对可控，逐步建立市场信用。</w:t>
      </w:r>
    </w:p>
    <w:p>
      <w:r>
        <w:rPr>
          <w:rFonts w:ascii="等线(中文正文)" w:hAnsi="等线(中文正文)" w:cs="等线(中文正文)" w:eastAsia="等线(中文正文)"/>
          <w:b w:val="false"/>
          <w:i w:val="false"/>
          <w:sz w:val="20"/>
        </w:rPr>
        <w:t/>
      </w:r>
    </w:p>
    <w:p>
      <w:pPr>
        <w:pStyle w:val="ab"/>
      </w:pPr>
      <w:r>
        <w:t>发言人1 问：进入20年至今的生态布局和债务管理深化期，博通债券融资有何变化？</w:t>
      </w:r>
    </w:p>
    <w:p>
      <w:r>
        <w:rPr>
          <w:rFonts w:ascii="等线(中文正文)" w:hAnsi="等线(中文正文)" w:cs="等线(中文正文)" w:eastAsia="等线(中文正文)"/>
          <w:b w:val="false"/>
          <w:i w:val="false"/>
          <w:sz w:val="20"/>
        </w:rPr>
        <w:t>发言人1 答：进入20年至今的生态布局阶段，博通债券融资变为高频化、规模化和属性多元化，发行频率显著攀升，期限结构更加多元化，通过长短结合的方式管理债务，并且票面利率成本虽受宏观利率影响但信用利差具有优势。</w:t>
      </w:r>
    </w:p>
    <w:p>
      <w:r>
        <w:rPr>
          <w:rFonts w:ascii="等线(中文正文)" w:hAnsi="等线(中文正文)" w:cs="等线(中文正文)" w:eastAsia="等线(中文正文)"/>
          <w:b w:val="false"/>
          <w:i w:val="false"/>
          <w:sz w:val="20"/>
        </w:rPr>
        <w:t/>
      </w:r>
    </w:p>
    <w:p>
      <w:pPr>
        <w:pStyle w:val="ab"/>
      </w:pPr>
      <w:r>
        <w:t>发言人1 问：博通的整体成长模式是怎样的？</w:t>
      </w:r>
    </w:p>
    <w:p>
      <w:r>
        <w:rPr>
          <w:rFonts w:ascii="等线(中文正文)" w:hAnsi="等线(中文正文)" w:cs="等线(中文正文)" w:eastAsia="等线(中文正文)"/>
          <w:b w:val="false"/>
          <w:i w:val="false"/>
          <w:sz w:val="20"/>
        </w:rPr>
        <w:t>发言人1 答：博通的成长模式典型表现为债务驱动型，依赖外部债权融资实现规模增长，同时并购完成后标的盈利及阶段性股权融资进一步支撑其发展。</w:t>
      </w:r>
    </w:p>
    <w:p>
      <w:r>
        <w:rPr>
          <w:rFonts w:ascii="等线(中文正文)" w:hAnsi="等线(中文正文)" w:cs="等线(中文正文)" w:eastAsia="等线(中文正文)"/>
          <w:b w:val="false"/>
          <w:i w:val="false"/>
          <w:sz w:val="20"/>
        </w:rPr>
        <w:t/>
      </w:r>
    </w:p>
    <w:p>
      <w:pPr>
        <w:pStyle w:val="ab"/>
      </w:pPr>
      <w:r>
        <w:t>发言人1 问：博通的债券融资和并购驱动模式如何相互作用？</w:t>
      </w:r>
    </w:p>
    <w:p>
      <w:r>
        <w:rPr>
          <w:rFonts w:ascii="等线(中文正文)" w:hAnsi="等线(中文正文)" w:cs="等线(中文正文)" w:eastAsia="等线(中文正文)"/>
          <w:b w:val="false"/>
          <w:i w:val="false"/>
          <w:sz w:val="20"/>
        </w:rPr>
        <w:t>发言人1 答：博通的债券融资深度绑定其并购驱动模式，债券市场为其执行杠杆收购提供大规模可预期的资金来源，被并购资产产生的稳定现金流用于偿付债务和管理杠杆水平，形成良性循环，使公司能够快速扩张并储备下一轮的杠杆收购空间。</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2026-08-12T23:51:58Z</dcterms:created>
  <dc:creator>Apache POI</dc:creator>
</cp:coreProperties>
</file>