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中信建投 2026年全行业研究框架培训·总量专场一 260810_导读</w:t>
      </w:r>
    </w:p>
    <w:p>
      <w:pPr>
        <w:pStyle w:val="a0"/>
        <w:jc w:val="center"/>
      </w:pPr>
      <w:r>
        <w:t>2026年08月11日 00:01</w:t>
      </w:r>
    </w:p>
    <w:p>
      <w:pPr>
        <w:pStyle w:val="a7"/>
      </w:pPr>
      <w:r>
        <w:t>关键词</w:t>
      </w:r>
    </w:p>
    <w:p>
      <w:r>
        <w:rPr>
          <w:rFonts w:ascii="等线(中文正文)" w:hAnsi="等线(中文正文)" w:cs="等线(中文正文)" w:eastAsia="等线(中文正文)"/>
          <w:b w:val="false"/>
          <w:i w:val="false"/>
          <w:sz w:val="20"/>
        </w:rPr>
        <w:t xml:space="preserve">中信建投 研究框架 宏观 资产配置 未来产业 国际化 总量 原油 黄金 美元 黑天鹅 经济 投资 风险 智慧化 创新药 会议 赛道 研究团队 宏观驱动力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对话深入探讨了金融市场流动性分析的关键要素，从宏观经济到微观层面，包括银行间市场资金价格指标如DR001、DR01的动态，及其对资金供需和市场利率走势的指示作用。讨论进一步扩展至固定收益市场的机构行为分析，强调了对各类金融机构策略与行为特征的细致考察，以及它们对市场的影响，指出杠杆、久期和票息策略的多样性。此外，对话突出了政策研究的重要性，通过案例分析和历史数据，阐述了政策信号在预测市场走势和投资机会中的作用。整体而言，本次讨论提供了一个全面的金融市场分析框架，为理解市场变化和制定相应策略提供了宝贵见解。</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中信建投2026年全行业研究框架培训总量专场声明</w:t>
      </w:r>
    </w:p>
    <w:p>
      <w:r>
        <w:rPr>
          <w:rFonts w:ascii="等线(中文正文)" w:hAnsi="等线(中文正文)" w:cs="等线(中文正文)" w:eastAsia="等线(中文正文)"/>
          <w:b w:val="false"/>
          <w:i w:val="false"/>
          <w:sz w:val="20"/>
        </w:rPr>
        <w:t>会议声明风险提示与免责声明，强调会议内容仅限中信建投白名单客户，禁止制作与传播会议纪要，会议内容不构成投资建议，信息来源可靠但准确性不保证，涉及专家观点不代表中信建投立场，会议内容知识产权归中信建投所有，未经许可不得使用。</w:t>
      </w:r>
    </w:p>
    <w:p>
      <w:r>
        <w:rPr>
          <w:rFonts w:ascii="等线(中文正文)" w:hAnsi="等线(中文正文)" w:cs="等线(中文正文)" w:eastAsia="等线(中文正文)"/>
          <w:b w:val="false"/>
          <w:i w:val="false"/>
          <w:sz w:val="20"/>
        </w:rPr>
        <w:t/>
      </w:r>
    </w:p>
    <w:p>
      <w:pPr>
        <w:pStyle w:val="ab"/>
        <w:numPr>
          <w:numId w:val="2"/>
        </w:numPr>
      </w:pPr>
      <w:r>
        <w:t>01:25 中信建投行业框架培训会议：聚焦未来产业研究与投资</w:t>
      </w:r>
    </w:p>
    <w:p>
      <w:r>
        <w:rPr>
          <w:rFonts w:ascii="等线(中文正文)" w:hAnsi="等线(中文正文)" w:cs="等线(中文正文)" w:eastAsia="等线(中文正文)"/>
          <w:b w:val="false"/>
          <w:i w:val="false"/>
          <w:sz w:val="20"/>
        </w:rPr>
        <w:t>中信建投首席经济学家研究所所长介绍了年度行业框架培训会议，强调了研究所的重大变化，包括推动智慧化研究和成立未来产业研究院，聚焦地方政府、未来产业及新兴产业，计划推出未来产业投资地图等系列产品，以满足市场新需求。</w:t>
      </w:r>
    </w:p>
    <w:p>
      <w:r>
        <w:rPr>
          <w:rFonts w:ascii="等线(中文正文)" w:hAnsi="等线(中文正文)" w:cs="等线(中文正文)" w:eastAsia="等线(中文正文)"/>
          <w:b w:val="false"/>
          <w:i w:val="false"/>
          <w:sz w:val="20"/>
        </w:rPr>
        <w:t/>
      </w:r>
    </w:p>
    <w:p>
      <w:pPr>
        <w:pStyle w:val="ab"/>
        <w:numPr>
          <w:numId w:val="3"/>
        </w:numPr>
      </w:pPr>
      <w:r>
        <w:t>03:04 中信建投研究所推动国际化，打造全球投资研究团队</w:t>
      </w:r>
    </w:p>
    <w:p>
      <w:r>
        <w:rPr>
          <w:rFonts w:ascii="等线(中文正文)" w:hAnsi="等线(中文正文)" w:cs="等线(中文正文)" w:eastAsia="等线(中文正文)"/>
          <w:b w:val="false"/>
          <w:i w:val="false"/>
          <w:sz w:val="20"/>
        </w:rPr>
        <w:t>中信建投研究所强调国际化战略，不仅将本土研究与国际接轨，还通过举办全球投资者大会和创新药大会等活动，邀请外资企业和海外上市公司参与交流。近期，研究所利用电话会议和现场活动形式，加强了与A股及海外投资者的沟通，展现了其智慧化和国际化的新常态。未来，研究所计划继续深化国际化布局，邀请更多外资企业来华，共同推动研究领域的国际合作。</w:t>
      </w:r>
    </w:p>
    <w:p>
      <w:r>
        <w:rPr>
          <w:rFonts w:ascii="等线(中文正文)" w:hAnsi="等线(中文正文)" w:cs="等线(中文正文)" w:eastAsia="等线(中文正文)"/>
          <w:b w:val="false"/>
          <w:i w:val="false"/>
          <w:sz w:val="20"/>
        </w:rPr>
        <w:t/>
      </w:r>
    </w:p>
    <w:p>
      <w:pPr>
        <w:pStyle w:val="ab"/>
        <w:numPr>
          <w:numId w:val="4"/>
        </w:numPr>
      </w:pPr>
      <w:r>
        <w:t>04:33 首席专家分享宏观经济与资产配置研究框架</w:t>
      </w:r>
    </w:p>
    <w:p>
      <w:r>
        <w:rPr>
          <w:rFonts w:ascii="等线(中文正文)" w:hAnsi="等线(中文正文)" w:cs="等线(中文正文)" w:eastAsia="等线(中文正文)"/>
          <w:b w:val="false"/>
          <w:i w:val="false"/>
          <w:sz w:val="20"/>
        </w:rPr>
        <w:t>对话中，四位首席专家通过真诚的态度和信息，分享了宏观经济、固定收益及政策研究的框架，强调了团队在过去几年的研究积累和对当下宏观环境及资产配置的看法。虽然30分钟的分享难以详尽，但团队计划未来推出系列培训，针对不同资产和宏观经济主题进行深入讲解，欢迎投资者关注并联系团队获取更多信息。</w:t>
      </w:r>
    </w:p>
    <w:p>
      <w:r>
        <w:rPr>
          <w:rFonts w:ascii="等线(中文正文)" w:hAnsi="等线(中文正文)" w:cs="等线(中文正文)" w:eastAsia="等线(中文正文)"/>
          <w:b w:val="false"/>
          <w:i w:val="false"/>
          <w:sz w:val="20"/>
        </w:rPr>
        <w:t/>
      </w:r>
    </w:p>
    <w:p>
      <w:pPr>
        <w:pStyle w:val="ab"/>
        <w:numPr>
          <w:numId w:val="5"/>
        </w:numPr>
      </w:pPr>
      <w:r>
        <w:t>05:47 宏观研究新范式与资产配置新框架探讨</w:t>
      </w:r>
    </w:p>
    <w:p>
      <w:r>
        <w:rPr>
          <w:rFonts w:ascii="等线(中文正文)" w:hAnsi="等线(中文正文)" w:cs="等线(中文正文)" w:eastAsia="等线(中文正文)"/>
          <w:b w:val="false"/>
          <w:i w:val="false"/>
          <w:sz w:val="20"/>
        </w:rPr>
        <w:t>讨论了2022年以来宏观逻辑变化对资产表现的影响，强调传统框架需调整以适应新趋势，通过资产走向观察宏观底层逻辑的变化，提出构建宏观研究新范式和资产配置新框架的必要性。</w:t>
      </w:r>
    </w:p>
    <w:p>
      <w:r>
        <w:rPr>
          <w:rFonts w:ascii="等线(中文正文)" w:hAnsi="等线(中文正文)" w:cs="等线(中文正文)" w:eastAsia="等线(中文正文)"/>
          <w:b w:val="false"/>
          <w:i w:val="false"/>
          <w:sz w:val="20"/>
        </w:rPr>
        <w:t/>
      </w:r>
    </w:p>
    <w:p>
      <w:pPr>
        <w:pStyle w:val="ab"/>
        <w:numPr>
          <w:numId w:val="6"/>
        </w:numPr>
      </w:pPr>
      <w:r>
        <w:t>07:48 原油价格波动与地缘政治冲突的影响分析</w:t>
      </w:r>
    </w:p>
    <w:p>
      <w:r>
        <w:rPr>
          <w:rFonts w:ascii="等线(中文正文)" w:hAnsi="等线(中文正文)" w:cs="等线(中文正文)" w:eastAsia="等线(中文正文)"/>
          <w:b w:val="false"/>
          <w:i w:val="false"/>
          <w:sz w:val="20"/>
        </w:rPr>
        <w:t>对话讨论了原油价格在过去五年内的定价逻辑变化，指出供需平衡表的传统分析方法已不再适用。从2022年起，一系列地缘政治冲突，包括俄乌冲突、中东博弈和美伊冲突，以及中美贸易战争，对原油价格产生了重大影响，导致定价逻辑发生系统性改变。优秀的宏观研究员开始重视这些黑天鹅事件，认为它们是局部地区热战和冷战现象频繁出现的原因，而不再将其视为随机噪音。</w:t>
      </w:r>
    </w:p>
    <w:p>
      <w:r>
        <w:rPr>
          <w:rFonts w:ascii="等线(中文正文)" w:hAnsi="等线(中文正文)" w:cs="等线(中文正文)" w:eastAsia="等线(中文正文)"/>
          <w:b w:val="false"/>
          <w:i w:val="false"/>
          <w:sz w:val="20"/>
        </w:rPr>
        <w:t/>
      </w:r>
    </w:p>
    <w:p>
      <w:pPr>
        <w:pStyle w:val="ab"/>
        <w:numPr>
          <w:numId w:val="7"/>
        </w:numPr>
      </w:pPr>
      <w:r>
        <w:t>09:36 黄金牛市：宏观逻辑变迁下的精准把握</w:t>
      </w:r>
    </w:p>
    <w:p>
      <w:r>
        <w:rPr>
          <w:rFonts w:ascii="等线(中文正文)" w:hAnsi="等线(中文正文)" w:cs="等线(中文正文)" w:eastAsia="等线(中文正文)"/>
          <w:b w:val="false"/>
          <w:i w:val="false"/>
          <w:sz w:val="20"/>
        </w:rPr>
        <w:t>对话深入探讨了黄金市场自2020年以来的宏观逻辑变化，指出传统经验规律如黄金与美元、美债利率、通胀及实际利率的相关性已失效。团队基于对底层逻辑变化的洞察，精准预测了黄金的底部与牛市，强调了2023年后的黄金牛市捕捉需摒弃旧有规律，关注全球宏观环境的转变。</w:t>
      </w:r>
    </w:p>
    <w:p>
      <w:r>
        <w:rPr>
          <w:rFonts w:ascii="等线(中文正文)" w:hAnsi="等线(中文正文)" w:cs="等线(中文正文)" w:eastAsia="等线(中文正文)"/>
          <w:b w:val="false"/>
          <w:i w:val="false"/>
          <w:sz w:val="20"/>
        </w:rPr>
        <w:t/>
      </w:r>
    </w:p>
    <w:p>
      <w:pPr>
        <w:pStyle w:val="ab"/>
        <w:numPr>
          <w:numId w:val="8"/>
        </w:numPr>
      </w:pPr>
      <w:r>
        <w:t>11:17 铜价异常与宏观驱动力变化</w:t>
      </w:r>
    </w:p>
    <w:p>
      <w:r>
        <w:rPr>
          <w:rFonts w:ascii="等线(中文正文)" w:hAnsi="等线(中文正文)" w:cs="等线(中文正文)" w:eastAsia="等线(中文正文)"/>
          <w:b w:val="false"/>
          <w:i w:val="false"/>
          <w:sz w:val="20"/>
        </w:rPr>
        <w:t>对话探讨了2023年后铜价异常坚挺的现象，指出其与传统需求及流动性宽松预期关联减弱，反映了全球宏观驱动力的深刻变化，暗示需重新理解全球资产定价逻辑。</w:t>
      </w:r>
    </w:p>
    <w:p>
      <w:r>
        <w:rPr>
          <w:rFonts w:ascii="等线(中文正文)" w:hAnsi="等线(中文正文)" w:cs="等线(中文正文)" w:eastAsia="等线(中文正文)"/>
          <w:b w:val="false"/>
          <w:i w:val="false"/>
          <w:sz w:val="20"/>
        </w:rPr>
        <w:t/>
      </w:r>
    </w:p>
    <w:p>
      <w:pPr>
        <w:pStyle w:val="ab"/>
        <w:numPr>
          <w:numId w:val="9"/>
        </w:numPr>
      </w:pPr>
      <w:r>
        <w:t>12:55 宏观研究新范式：全球新旧秩序更替与资产定价</w:t>
      </w:r>
    </w:p>
    <w:p>
      <w:r>
        <w:rPr>
          <w:rFonts w:ascii="等线(中文正文)" w:hAnsi="等线(中文正文)" w:cs="等线(中文正文)" w:eastAsia="等线(中文正文)"/>
          <w:b w:val="false"/>
          <w:i w:val="false"/>
          <w:sz w:val="20"/>
        </w:rPr>
        <w:t>对话探讨了宏观研究的新范式，指出全球正处于新旧秩序更替的关键时期，这是理解2023年后宏观趋势的出发点。通过分析美债市场，强调需求和流动性不再是主导逻辑，而供给侧变革成为关键驱动力。2023年美债利率的波动验证了这一新范式的有效性，预示着资产定价和政策预判的新方向。</w:t>
      </w:r>
    </w:p>
    <w:p>
      <w:r>
        <w:rPr>
          <w:rFonts w:ascii="等线(中文正文)" w:hAnsi="等线(中文正文)" w:cs="等线(中文正文)" w:eastAsia="等线(中文正文)"/>
          <w:b w:val="false"/>
          <w:i w:val="false"/>
          <w:sz w:val="20"/>
        </w:rPr>
        <w:t/>
      </w:r>
    </w:p>
    <w:p>
      <w:pPr>
        <w:pStyle w:val="ab"/>
        <w:numPr>
          <w:numId w:val="10"/>
        </w:numPr>
      </w:pPr>
      <w:r>
        <w:t>14:51 债券信用与全球经济新秩序重建</w:t>
      </w:r>
    </w:p>
    <w:p>
      <w:r>
        <w:rPr>
          <w:rFonts w:ascii="等线(中文正文)" w:hAnsi="等线(中文正文)" w:cs="等线(中文正文)" w:eastAsia="等线(中文正文)"/>
          <w:b w:val="false"/>
          <w:i w:val="false"/>
          <w:sz w:val="20"/>
        </w:rPr>
        <w:t>对话深入探讨了债券信用与经济体系的关联，指出经济体孱弱却债券利率上升意味着信用松动，这一现象归因于全球供给层面的深刻变化，即新旧秩序重建。2024年后，不再看好美债，转而关注国家根本变化带来的宏观政策、经济指标及资产变化，形成对海外通胀中枢下行和美国货币政策收紧的新认知。</w:t>
      </w:r>
    </w:p>
    <w:p>
      <w:r>
        <w:rPr>
          <w:rFonts w:ascii="等线(中文正文)" w:hAnsi="等线(中文正文)" w:cs="等线(中文正文)" w:eastAsia="等线(中文正文)"/>
          <w:b w:val="false"/>
          <w:i w:val="false"/>
          <w:sz w:val="20"/>
        </w:rPr>
        <w:t/>
      </w:r>
    </w:p>
    <w:p>
      <w:pPr>
        <w:pStyle w:val="ab"/>
        <w:numPr>
          <w:numId w:val="11"/>
        </w:numPr>
      </w:pPr>
      <w:r>
        <w:t>16:08 全球宏观经济逻辑与新框架探讨</w:t>
      </w:r>
    </w:p>
    <w:p>
      <w:r>
        <w:rPr>
          <w:rFonts w:ascii="等线(中文正文)" w:hAnsi="等线(中文正文)" w:cs="等线(中文正文)" w:eastAsia="等线(中文正文)"/>
          <w:b w:val="false"/>
          <w:i w:val="false"/>
          <w:sz w:val="20"/>
        </w:rPr>
        <w:t>对话深入分析了当前全球经济秩序变化，特别是美国作为核心主导国的角色转变。指出过去20年的宏观经验和框架已不适用，需要构建新的经济逻辑和框架。强调了科技、资源品和供应链的重要性，并指出这些因素正在影响政策制定和经济数据。呼吁重新理解资产背后的宏观趋势信号，以应对全球供给侧变化带来的新挑战。</w:t>
      </w:r>
    </w:p>
    <w:p>
      <w:r>
        <w:rPr>
          <w:rFonts w:ascii="等线(中文正文)" w:hAnsi="等线(中文正文)" w:cs="等线(中文正文)" w:eastAsia="等线(中文正文)"/>
          <w:b w:val="false"/>
          <w:i w:val="false"/>
          <w:sz w:val="20"/>
        </w:rPr>
        <w:t/>
      </w:r>
    </w:p>
    <w:p>
      <w:pPr>
        <w:pStyle w:val="ab"/>
        <w:numPr>
          <w:numId w:val="12"/>
        </w:numPr>
      </w:pPr>
      <w:r>
        <w:t>17:52 解析经济周期与政策框架：洞察美国货币政策核心</w:t>
      </w:r>
    </w:p>
    <w:p>
      <w:r>
        <w:rPr>
          <w:rFonts w:ascii="等线(中文正文)" w:hAnsi="等线(中文正文)" w:cs="等线(中文正文)" w:eastAsia="等线(中文正文)"/>
          <w:b w:val="false"/>
          <w:i w:val="false"/>
          <w:sz w:val="20"/>
        </w:rPr>
        <w:t>对话深入探讨了经济周期、财政货币政策以及通胀成因的研究，强调理解国家经济模式和政策底色的重要性。以美国为例，指出美联储始终服务于美国核心利益，而当前的核心矛盾决定了其政策方向。通过剖析这些底层逻辑，可以更好地理解货币政策及其对资产的影响。</w:t>
      </w:r>
    </w:p>
    <w:p>
      <w:r>
        <w:rPr>
          <w:rFonts w:ascii="等线(中文正文)" w:hAnsi="等线(中文正文)" w:cs="等线(中文正文)" w:eastAsia="等线(中文正文)"/>
          <w:b w:val="false"/>
          <w:i w:val="false"/>
          <w:sz w:val="20"/>
        </w:rPr>
        <w:t/>
      </w:r>
    </w:p>
    <w:p>
      <w:pPr>
        <w:pStyle w:val="ab"/>
        <w:numPr>
          <w:numId w:val="13"/>
        </w:numPr>
      </w:pPr>
      <w:r>
        <w:t>18:55 深化资产研究与配置策略</w:t>
      </w:r>
    </w:p>
    <w:p>
      <w:r>
        <w:rPr>
          <w:rFonts w:ascii="等线(中文正文)" w:hAnsi="等线(中文正文)" w:cs="等线(中文正文)" w:eastAsia="等线(中文正文)"/>
          <w:b w:val="false"/>
          <w:i w:val="false"/>
          <w:sz w:val="20"/>
        </w:rPr>
        <w:t>对话围绕资产研究的深度与广度展开，强调了对全球主要资产如美股、美债、中债及中国股票等的系统性分析，以及对经济指标、国家模式和政策框架的历史复盘。研究团队致力于识别不变的主要矛盾与新变化，以指导资产配置，未来目标是提升资产配置的择时性与实用性。</w:t>
      </w:r>
    </w:p>
    <w:p>
      <w:r>
        <w:rPr>
          <w:rFonts w:ascii="等线(中文正文)" w:hAnsi="等线(中文正文)" w:cs="等线(中文正文)" w:eastAsia="等线(中文正文)"/>
          <w:b w:val="false"/>
          <w:i w:val="false"/>
          <w:sz w:val="20"/>
        </w:rPr>
        <w:t/>
      </w:r>
    </w:p>
    <w:p>
      <w:pPr>
        <w:pStyle w:val="ab"/>
        <w:numPr>
          <w:numId w:val="14"/>
        </w:numPr>
      </w:pPr>
      <w:r>
        <w:t>19:59 科技周期与资产配置：深入研究与择时策略</w:t>
      </w:r>
    </w:p>
    <w:p>
      <w:r>
        <w:rPr>
          <w:rFonts w:ascii="等线(中文正文)" w:hAnsi="等线(中文正文)" w:cs="等线(中文正文)" w:eastAsia="等线(中文正文)"/>
          <w:b w:val="false"/>
          <w:i w:val="false"/>
          <w:sz w:val="20"/>
        </w:rPr>
        <w:t>分享了科技周期在2024年底的重要性，承认在预期悲观时未能坚定地识别科技周期的底层驱动力，未来将加强短期研究和择时策略，以适应二级市场的务实需求，强调宏观指标、周期本质和国家政策框架的系统研究，以及资产复盘和交易逻辑的深度分析，旨在更精准地把握市场节奏，避免大错和错失大机会，同时欢迎对宏观和资产配置感兴趣的交流。</w:t>
      </w:r>
    </w:p>
    <w:p>
      <w:r>
        <w:rPr>
          <w:rFonts w:ascii="等线(中文正文)" w:hAnsi="等线(中文正文)" w:cs="等线(中文正文)" w:eastAsia="等线(中文正文)"/>
          <w:b w:val="false"/>
          <w:i w:val="false"/>
          <w:sz w:val="20"/>
        </w:rPr>
        <w:t/>
      </w:r>
    </w:p>
    <w:p>
      <w:pPr>
        <w:pStyle w:val="ab"/>
        <w:numPr>
          <w:numId w:val="15"/>
        </w:numPr>
      </w:pPr>
      <w:r>
        <w:t>21:30 债券资产定价与市场策略解析</w:t>
      </w:r>
    </w:p>
    <w:p>
      <w:r>
        <w:rPr>
          <w:rFonts w:ascii="等线(中文正文)" w:hAnsi="等线(中文正文)" w:cs="等线(中文正文)" w:eastAsia="等线(中文正文)"/>
          <w:b w:val="false"/>
          <w:i w:val="false"/>
          <w:sz w:val="20"/>
        </w:rPr>
        <w:t>分享围绕债券资产定价展开，强调市场阶段性关注重点，如流动性和机构行为。解析债券市场构成，包括利率债、信用债和存单，讨论监管体系对市场影响，如政府债所得税政策。提供策略建议，涵盖基本面分析、政策与机构行为影响，以及交易策略。</w:t>
      </w:r>
    </w:p>
    <w:p>
      <w:r>
        <w:rPr>
          <w:rFonts w:ascii="等线(中文正文)" w:hAnsi="等线(中文正文)" w:cs="等线(中文正文)" w:eastAsia="等线(中文正文)"/>
          <w:b w:val="false"/>
          <w:i w:val="false"/>
          <w:sz w:val="20"/>
        </w:rPr>
        <w:t/>
      </w:r>
    </w:p>
    <w:p>
      <w:pPr>
        <w:pStyle w:val="ab"/>
        <w:numPr>
          <w:numId w:val="16"/>
        </w:numPr>
      </w:pPr>
      <w:r>
        <w:t>25:03 债券市场分析框架与宏观经济关系探讨</w:t>
      </w:r>
    </w:p>
    <w:p>
      <w:r>
        <w:rPr>
          <w:rFonts w:ascii="等线(中文正文)" w:hAnsi="等线(中文正文)" w:cs="等线(中文正文)" w:eastAsia="等线(中文正文)"/>
          <w:b w:val="false"/>
          <w:i w:val="false"/>
          <w:sz w:val="20"/>
        </w:rPr>
        <w:t>对话深入探讨了债券市场分析的主流框架，特别是五碗面框架在债券分析中的应用，以及宏观经济方向对债券市场的影响。分析指出，2023年至2025年债券市场走势与宏观经济的回落趋势紧密相关，基本面、政策面等要素构成了分析的重要抓手。此外，对话还强调了高频数据在判断债券市场趋势中的作用，以及宏观经济数据对债券市场交易方向的指导意义。</w:t>
      </w:r>
    </w:p>
    <w:p>
      <w:r>
        <w:rPr>
          <w:rFonts w:ascii="等线(中文正文)" w:hAnsi="等线(中文正文)" w:cs="等线(中文正文)" w:eastAsia="等线(中文正文)"/>
          <w:b w:val="false"/>
          <w:i w:val="false"/>
          <w:sz w:val="20"/>
        </w:rPr>
        <w:t/>
      </w:r>
    </w:p>
    <w:p>
      <w:pPr>
        <w:pStyle w:val="ab"/>
        <w:numPr>
          <w:numId w:val="17"/>
        </w:numPr>
      </w:pPr>
      <w:r>
        <w:t>29:07 财政与货币政策分析框架对比</w:t>
      </w:r>
    </w:p>
    <w:p>
      <w:r>
        <w:rPr>
          <w:rFonts w:ascii="等线(中文正文)" w:hAnsi="等线(中文正文)" w:cs="等线(中文正文)" w:eastAsia="等线(中文正文)"/>
          <w:b w:val="false"/>
          <w:i w:val="false"/>
          <w:sz w:val="20"/>
        </w:rPr>
        <w:t>对话主要讨论了市场对财政和货币政策的关注差异，指出货币政策因央行对外沟通较多而受关注，财政政策则因沟通频率和数据广度不足而分析量较少。分析财政政策时，市场更关注赤字率、专项债等总量和结构变化，以及收支进度反映的政策边际取向。与货币政策相比，财政政策在债券分析中的权重较低。</w:t>
      </w:r>
    </w:p>
    <w:p>
      <w:r>
        <w:rPr>
          <w:rFonts w:ascii="等线(中文正文)" w:hAnsi="等线(中文正文)" w:cs="等线(中文正文)" w:eastAsia="等线(中文正文)"/>
          <w:b w:val="false"/>
          <w:i w:val="false"/>
          <w:sz w:val="20"/>
        </w:rPr>
        <w:t/>
      </w:r>
    </w:p>
    <w:p>
      <w:pPr>
        <w:pStyle w:val="ab"/>
        <w:numPr>
          <w:numId w:val="18"/>
        </w:numPr>
      </w:pPr>
      <w:r>
        <w:t>31:54 财政政策分析与债券市场博弈策略</w:t>
      </w:r>
    </w:p>
    <w:p>
      <w:r>
        <w:rPr>
          <w:rFonts w:ascii="等线(中文正文)" w:hAnsi="等线(中文正文)" w:cs="等线(中文正文)" w:eastAsia="等线(中文正文)"/>
          <w:b w:val="false"/>
          <w:i w:val="false"/>
          <w:sz w:val="20"/>
        </w:rPr>
        <w:t>对话围绕财政政策的分析框架展开，强调主基调与行动的匹配性，以及在债券市场中的博弈策略，包括三月两会、四月债券规模推断、八九月债券发行进度和十月份特别国债发行的可能性。此外，讨论了债券市场的高卷度和学习效应，以及微观层面的招投标行情对策略的影响。</w:t>
      </w:r>
    </w:p>
    <w:p>
      <w:r>
        <w:rPr>
          <w:rFonts w:ascii="等线(中文正文)" w:hAnsi="等线(中文正文)" w:cs="等线(中文正文)" w:eastAsia="等线(中文正文)"/>
          <w:b w:val="false"/>
          <w:i w:val="false"/>
          <w:sz w:val="20"/>
        </w:rPr>
        <w:t/>
      </w:r>
    </w:p>
    <w:p>
      <w:pPr>
        <w:pStyle w:val="ab"/>
        <w:numPr>
          <w:numId w:val="19"/>
        </w:numPr>
      </w:pPr>
      <w:r>
        <w:t>35:03 货币政策分析框架与转型</w:t>
      </w:r>
    </w:p>
    <w:p>
      <w:r>
        <w:rPr>
          <w:rFonts w:ascii="等线(中文正文)" w:hAnsi="等线(中文正文)" w:cs="等线(中文正文)" w:eastAsia="等线(中文正文)"/>
          <w:b w:val="false"/>
          <w:i w:val="false"/>
          <w:sz w:val="20"/>
        </w:rPr>
        <w:t>讨论了货币政策的目标从经济增长转向充分就业和币值稳定的转变，以及从数量型向价格型货币政策转型的背景。强调了商业银行在经济结构分化下的贷款效率问题，指出降准和降息在当前经济环境下的信号作用，以及市场流动性投放的新规范。</w:t>
      </w:r>
    </w:p>
    <w:p>
      <w:r>
        <w:rPr>
          <w:rFonts w:ascii="等线(中文正文)" w:hAnsi="等线(中文正文)" w:cs="等线(中文正文)" w:eastAsia="等线(中文正文)"/>
          <w:b w:val="false"/>
          <w:i w:val="false"/>
          <w:sz w:val="20"/>
        </w:rPr>
        <w:t/>
      </w:r>
    </w:p>
    <w:p>
      <w:pPr>
        <w:pStyle w:val="ab"/>
        <w:numPr>
          <w:numId w:val="20"/>
        </w:numPr>
      </w:pPr>
      <w:r>
        <w:t>40:36 货币政策转型与价格型工具的重要性</w:t>
      </w:r>
    </w:p>
    <w:p>
      <w:r>
        <w:rPr>
          <w:rFonts w:ascii="等线(中文正文)" w:hAnsi="等线(中文正文)" w:cs="等线(中文正文)" w:eastAsia="等线(中文正文)"/>
          <w:b w:val="false"/>
          <w:i w:val="false"/>
          <w:sz w:val="20"/>
        </w:rPr>
        <w:t>对话深入探讨了货币政策从数量型向价格型转型的关键，强调了隔夜OMO利率作为未来政策利率的重要性，以及央行通过控制政策利率引导市场利率的传导机制。分析了央行在不同时间节点的沟通措辞变化，以理解其阶段性目标，特别是防控战诉求对金融稳定的影响，指出近期政策主基调的变化趋势。</w:t>
      </w:r>
    </w:p>
    <w:p>
      <w:r>
        <w:rPr>
          <w:rFonts w:ascii="等线(中文正文)" w:hAnsi="等线(中文正文)" w:cs="等线(中文正文)" w:eastAsia="等线(中文正文)"/>
          <w:b w:val="false"/>
          <w:i w:val="false"/>
          <w:sz w:val="20"/>
        </w:rPr>
        <w:t/>
      </w:r>
    </w:p>
    <w:p>
      <w:pPr>
        <w:pStyle w:val="ab"/>
        <w:numPr>
          <w:numId w:val="21"/>
        </w:numPr>
      </w:pPr>
      <w:r>
        <w:t>43:17 央行季度货币政策分析框架</w:t>
      </w:r>
    </w:p>
    <w:p>
      <w:r>
        <w:rPr>
          <w:rFonts w:ascii="等线(中文正文)" w:hAnsi="等线(中文正文)" w:cs="等线(中文正文)" w:eastAsia="等线(中文正文)"/>
          <w:b w:val="false"/>
          <w:i w:val="false"/>
          <w:sz w:val="20"/>
        </w:rPr>
        <w:t>讨论了央行季度货币政策的三个关键时间点：季末金融数据发布会、第二个月的货币政策执行报告及季末货币政策例会，通过这些会议分析央行目标及主基调变化。同时，探讨了央行实现目标可能采用的工具，包括总量性工具与结构性货币政策工具，以及市场对流动性的反应。</w:t>
      </w:r>
    </w:p>
    <w:p>
      <w:r>
        <w:rPr>
          <w:rFonts w:ascii="等线(中文正文)" w:hAnsi="等线(中文正文)" w:cs="等线(中文正文)" w:eastAsia="等线(中文正文)"/>
          <w:b w:val="false"/>
          <w:i w:val="false"/>
          <w:sz w:val="20"/>
        </w:rPr>
        <w:t/>
      </w:r>
    </w:p>
    <w:p>
      <w:pPr>
        <w:pStyle w:val="ab"/>
        <w:numPr>
          <w:numId w:val="22"/>
        </w:numPr>
      </w:pPr>
      <w:r>
        <w:t>46:30 央行流动性分析与市场微观交易行为</w:t>
      </w:r>
    </w:p>
    <w:p>
      <w:r>
        <w:rPr>
          <w:rFonts w:ascii="等线(中文正文)" w:hAnsi="等线(中文正文)" w:cs="等线(中文正文)" w:eastAsia="等线(中文正文)"/>
          <w:b w:val="false"/>
          <w:i w:val="false"/>
          <w:sz w:val="20"/>
        </w:rPr>
        <w:t>讨论了流动性本质源于央行，通过分析央行目标、投放量价及经济状况判断流动性趋势。提及财政、信贷等微观因素对流动性的影响，如财政支出、信贷波动。分析了2026年流动性变化，包括央行投放、银行信贷及市场资金体感，强调宏观与微观因素共同作用于流动性变化。</w:t>
      </w:r>
    </w:p>
    <w:p>
      <w:r>
        <w:rPr>
          <w:rFonts w:ascii="等线(中文正文)" w:hAnsi="等线(中文正文)" w:cs="等线(中文正文)" w:eastAsia="等线(中文正文)"/>
          <w:b w:val="false"/>
          <w:i w:val="false"/>
          <w:sz w:val="20"/>
        </w:rPr>
        <w:t/>
      </w:r>
    </w:p>
    <w:p>
      <w:pPr>
        <w:pStyle w:val="ab"/>
        <w:numPr>
          <w:numId w:val="23"/>
        </w:numPr>
      </w:pPr>
      <w:r>
        <w:t>52:10 流动性分析框架与机构行为探讨</w:t>
      </w:r>
    </w:p>
    <w:p>
      <w:r>
        <w:rPr>
          <w:rFonts w:ascii="等线(中文正文)" w:hAnsi="等线(中文正文)" w:cs="等线(中文正文)" w:eastAsia="等线(中文正文)"/>
          <w:b w:val="false"/>
          <w:i w:val="false"/>
          <w:sz w:val="20"/>
        </w:rPr>
        <w:t>对话深入探讨了流动性分析的微观层面，聚焦于量价分析结构，特别是DR001、R001等指标在银行间资金价格变动中的作用。同时，分析了机构行为的特性，指出其框架性不强，但建议从政策性、交易性、支付匹配性等角度进行分析。流动性变化与货币政策、信贷、财政支出等因素紧密相关，而机构行为则需结合各自特性进行考量。</w:t>
      </w:r>
    </w:p>
    <w:p>
      <w:r>
        <w:rPr>
          <w:rFonts w:ascii="等线(中文正文)" w:hAnsi="等线(中文正文)" w:cs="等线(中文正文)" w:eastAsia="等线(中文正文)"/>
          <w:b w:val="false"/>
          <w:i w:val="false"/>
          <w:sz w:val="20"/>
        </w:rPr>
        <w:t/>
      </w:r>
    </w:p>
    <w:p>
      <w:pPr>
        <w:pStyle w:val="ab"/>
        <w:numPr>
          <w:numId w:val="24"/>
        </w:numPr>
      </w:pPr>
      <w:r>
        <w:t>55:48 大行与中小行资产配置分析</w:t>
      </w:r>
    </w:p>
    <w:p>
      <w:r>
        <w:rPr>
          <w:rFonts w:ascii="等线(中文正文)" w:hAnsi="等线(中文正文)" w:cs="等线(中文正文)" w:eastAsia="等线(中文正文)"/>
          <w:b w:val="false"/>
          <w:i w:val="false"/>
          <w:sz w:val="20"/>
        </w:rPr>
        <w:t>分析了大行在负债端和资产端的配置策略，包括央行存款、存单及市场行为的影响，以及中小行在资产配置上的限制与偏好，如存单和二级市场的交易行为，同时探讨了农商行和保险机构的特定配置逻辑。</w:t>
      </w:r>
    </w:p>
    <w:p>
      <w:r>
        <w:rPr>
          <w:rFonts w:ascii="等线(中文正文)" w:hAnsi="等线(中文正文)" w:cs="等线(中文正文)" w:eastAsia="等线(中文正文)"/>
          <w:b w:val="false"/>
          <w:i w:val="false"/>
          <w:sz w:val="20"/>
        </w:rPr>
        <w:t/>
      </w:r>
    </w:p>
    <w:p>
      <w:pPr>
        <w:pStyle w:val="ab"/>
        <w:numPr>
          <w:numId w:val="25"/>
        </w:numPr>
      </w:pPr>
      <w:r>
        <w:t>59:24 机构行为分析与债券策略探讨</w:t>
      </w:r>
    </w:p>
    <w:p>
      <w:r>
        <w:rPr>
          <w:rFonts w:ascii="等线(中文正文)" w:hAnsi="等线(中文正文)" w:cs="等线(中文正文)" w:eastAsia="等线(中文正文)"/>
          <w:b w:val="false"/>
          <w:i w:val="false"/>
          <w:sz w:val="20"/>
        </w:rPr>
        <w:t>对话深入探讨了基金与券商在市场中的行为特征，指出基金的负债端受市场行情与申购影响，资产端则关注收益率与信用行情；券商则更侧重于波动性，如七月份的债券成交量变化。基于机构行为特性，提出了债券策略的核心在于票息与杠杆的运用，组合构建可采取子弹、哑铃、阶梯等策略，强调灵活性与市场方向判断的重要性。</w:t>
      </w:r>
    </w:p>
    <w:p>
      <w:r>
        <w:rPr>
          <w:rFonts w:ascii="等线(中文正文)" w:hAnsi="等线(中文正文)" w:cs="等线(中文正文)" w:eastAsia="等线(中文正文)"/>
          <w:b w:val="false"/>
          <w:i w:val="false"/>
          <w:sz w:val="20"/>
        </w:rPr>
        <w:t/>
      </w:r>
    </w:p>
    <w:p>
      <w:pPr>
        <w:pStyle w:val="ab"/>
        <w:numPr>
          <w:numId w:val="26"/>
        </w:numPr>
      </w:pPr>
      <w:r>
        <w:t>01:01:09 市场分析框架与固定收益策略分享</w:t>
      </w:r>
    </w:p>
    <w:p>
      <w:r>
        <w:rPr>
          <w:rFonts w:ascii="等线(中文正文)" w:hAnsi="等线(中文正文)" w:cs="等线(中文正文)" w:eastAsia="等线(中文正文)"/>
          <w:b w:val="false"/>
          <w:i w:val="false"/>
          <w:sz w:val="20"/>
        </w:rPr>
        <w:t>分享了市场分析的多维度框架，包括基本面、政策面、流动性及机构行为分析，强调方向性和交易性视角的重要性，以及固定收益策略中杠杆、久期和票息的贡献，建议根据行情切换子弹、哑铃、阶梯和位数策略。</w:t>
      </w:r>
    </w:p>
    <w:p>
      <w:r>
        <w:rPr>
          <w:rFonts w:ascii="等线(中文正文)" w:hAnsi="等线(中文正文)" w:cs="等线(中文正文)" w:eastAsia="等线(中文正文)"/>
          <w:b w:val="false"/>
          <w:i w:val="false"/>
          <w:sz w:val="20"/>
        </w:rPr>
        <w:t/>
      </w:r>
    </w:p>
    <w:p>
      <w:pPr>
        <w:pStyle w:val="ab"/>
        <w:numPr>
          <w:numId w:val="27"/>
        </w:numPr>
      </w:pPr>
      <w:r>
        <w:t>01:02:48 政策研究的重要性与框架</w:t>
      </w:r>
    </w:p>
    <w:p>
      <w:r>
        <w:rPr>
          <w:rFonts w:ascii="等线(中文正文)" w:hAnsi="等线(中文正文)" w:cs="等线(中文正文)" w:eastAsia="等线(中文正文)"/>
          <w:b w:val="false"/>
          <w:i w:val="false"/>
          <w:sz w:val="20"/>
        </w:rPr>
        <w:t>讨论了政策研究的必要性，强调跳出单一行业视角的重要性，以及自上而下政策对中国的影响。提出政策研究旨在分析政策本质与作用，以支撑金融行业投资决策。汇报了政策分析框架的核心观点，包括政策研究定义、目的及多元化研究角度。</w:t>
      </w:r>
    </w:p>
    <w:p>
      <w:r>
        <w:rPr>
          <w:rFonts w:ascii="等线(中文正文)" w:hAnsi="等线(中文正文)" w:cs="等线(中文正文)" w:eastAsia="等线(中文正文)"/>
          <w:b w:val="false"/>
          <w:i w:val="false"/>
          <w:sz w:val="20"/>
        </w:rPr>
        <w:t/>
      </w:r>
    </w:p>
    <w:p>
      <w:pPr>
        <w:pStyle w:val="ab"/>
        <w:numPr>
          <w:numId w:val="28"/>
        </w:numPr>
      </w:pPr>
      <w:r>
        <w:t>01:05:18 政策分类与分析方法：从狭义到广义的全面解读</w:t>
      </w:r>
    </w:p>
    <w:p>
      <w:r>
        <w:rPr>
          <w:rFonts w:ascii="等线(中文正文)" w:hAnsi="等线(中文正文)" w:cs="等线(中文正文)" w:eastAsia="等线(中文正文)"/>
          <w:b w:val="false"/>
          <w:i w:val="false"/>
          <w:sz w:val="20"/>
        </w:rPr>
        <w:t>对话深入探讨了政策的分类，将其分为狭义和广义两个维度，进一步细分为决策类、部署类、落实类和落地类政策。狭义政策主要指法律法规和财政货币政策调整，而广义政策则涵盖所有可能影响市场的政策信号。分析方法包括博弈比较、历史复盘和实地调研，强调从一线获取一手资料的重要性。</w:t>
      </w:r>
    </w:p>
    <w:p>
      <w:r>
        <w:rPr>
          <w:rFonts w:ascii="等线(中文正文)" w:hAnsi="等线(中文正文)" w:cs="等线(中文正文)" w:eastAsia="等线(中文正文)"/>
          <w:b w:val="false"/>
          <w:i w:val="false"/>
          <w:sz w:val="20"/>
        </w:rPr>
        <w:t/>
      </w:r>
    </w:p>
    <w:p>
      <w:pPr>
        <w:pStyle w:val="ab"/>
        <w:numPr>
          <w:numId w:val="29"/>
        </w:numPr>
      </w:pPr>
      <w:r>
        <w:t>01:08:42 政策周期的漫长与严谨</w:t>
      </w:r>
    </w:p>
    <w:p>
      <w:r>
        <w:rPr>
          <w:rFonts w:ascii="等线(中文正文)" w:hAnsi="等线(中文正文)" w:cs="等线(中文正文)" w:eastAsia="等线(中文正文)"/>
          <w:b w:val="false"/>
          <w:i w:val="false"/>
          <w:sz w:val="20"/>
        </w:rPr>
        <w:t>对话围绕政策周期的漫长过程展开，从酝酿、研究、制定到实施、评估、终结，强调了政策制定的严谨性和长期性。以二大报告和新证券法为例，说明了政策出台并非一蹴而就，而是经过长时间的研究与论证。同时，对话指出市场对政策的突然解读存在误区，实际上重大政策如统一大市场，是基于长期规划而非短期应对。</w:t>
      </w:r>
    </w:p>
    <w:p>
      <w:r>
        <w:rPr>
          <w:rFonts w:ascii="等线(中文正文)" w:hAnsi="等线(中文正文)" w:cs="等线(中文正文)" w:eastAsia="等线(中文正文)"/>
          <w:b w:val="false"/>
          <w:i w:val="false"/>
          <w:sz w:val="20"/>
        </w:rPr>
        <w:t/>
      </w:r>
    </w:p>
    <w:p>
      <w:pPr>
        <w:pStyle w:val="ab"/>
        <w:numPr>
          <w:numId w:val="30"/>
        </w:numPr>
      </w:pPr>
      <w:r>
        <w:t>01:10:30 政策研究的重要性与价值</w:t>
      </w:r>
    </w:p>
    <w:p>
      <w:r>
        <w:rPr>
          <w:rFonts w:ascii="等线(中文正文)" w:hAnsi="等线(中文正文)" w:cs="等线(中文正文)" w:eastAsia="等线(中文正文)"/>
          <w:b w:val="false"/>
          <w:i w:val="false"/>
          <w:sz w:val="20"/>
        </w:rPr>
        <w:t>讨论了政策对市场影响的显著性，包括国际和国内案例，强调了政策研究在事前预测和事后解读中的重要性，以及对资本市场的影响。</w:t>
      </w:r>
    </w:p>
    <w:p>
      <w:r>
        <w:rPr>
          <w:rFonts w:ascii="等线(中文正文)" w:hAnsi="等线(中文正文)" w:cs="等线(中文正文)" w:eastAsia="等线(中文正文)"/>
          <w:b w:val="false"/>
          <w:i w:val="false"/>
          <w:sz w:val="20"/>
        </w:rPr>
        <w:t/>
      </w:r>
    </w:p>
    <w:p>
      <w:pPr>
        <w:pStyle w:val="ab"/>
        <w:numPr>
          <w:numId w:val="31"/>
        </w:numPr>
      </w:pPr>
      <w:r>
        <w:t>01:11:56 政策影响途径与研究方法探讨</w:t>
      </w:r>
    </w:p>
    <w:p>
      <w:r>
        <w:rPr>
          <w:rFonts w:ascii="等线(中文正文)" w:hAnsi="等线(中文正文)" w:cs="等线(中文正文)" w:eastAsia="等线(中文正文)"/>
          <w:b w:val="false"/>
          <w:i w:val="false"/>
          <w:sz w:val="20"/>
        </w:rPr>
        <w:t>对话深入探讨了政策对市场、行业及上市公司的影响途径，强调了中央层面顶层设计政策的重要性，提出需完整、准确、全面理解政策制定逻辑，避免片面解读与情绪化影响，倡导从政策制定者角度思考，以适应而非试图影响政策调整。</w:t>
      </w:r>
    </w:p>
    <w:p>
      <w:r>
        <w:rPr>
          <w:rFonts w:ascii="等线(中文正文)" w:hAnsi="等线(中文正文)" w:cs="等线(中文正文)" w:eastAsia="等线(中文正文)"/>
          <w:b w:val="false"/>
          <w:i w:val="false"/>
          <w:sz w:val="20"/>
        </w:rPr>
        <w:t/>
      </w:r>
    </w:p>
    <w:p>
      <w:pPr>
        <w:pStyle w:val="ab"/>
        <w:numPr>
          <w:numId w:val="32"/>
        </w:numPr>
      </w:pPr>
      <w:r>
        <w:t>01:14:24 政策与市场反应偏差及信号捕捉策略</w:t>
      </w:r>
    </w:p>
    <w:p>
      <w:r>
        <w:rPr>
          <w:rFonts w:ascii="等线(中文正文)" w:hAnsi="等线(中文正文)" w:cs="等线(中文正文)" w:eastAsia="等线(中文正文)"/>
          <w:b w:val="false"/>
          <w:i w:val="false"/>
          <w:sz w:val="20"/>
        </w:rPr>
        <w:t>讨论了政策与市场表现的偏离现象，包括政策初衷与市场反应不一致、预期与实际力度差异等，并提出了通过信息发布主体权威性、专业性、内容关注度、发布频率等维度和指标捕捉政策信号的方法，强调了政策预期与市场实际反应之间存在差异，建议动态观察以预测政策出台的力度和节奏。</w:t>
      </w:r>
    </w:p>
    <w:p>
      <w:r>
        <w:rPr>
          <w:rFonts w:ascii="等线(中文正文)" w:hAnsi="等线(中文正文)" w:cs="等线(中文正文)" w:eastAsia="等线(中文正文)"/>
          <w:b w:val="false"/>
          <w:i w:val="false"/>
          <w:sz w:val="20"/>
        </w:rPr>
        <w:t/>
      </w:r>
    </w:p>
    <w:p>
      <w:pPr>
        <w:pStyle w:val="ab"/>
        <w:numPr>
          <w:numId w:val="33"/>
        </w:numPr>
      </w:pPr>
      <w:r>
        <w:t>01:16:29 解读党政公安报告的关键视角与案例分析</w:t>
      </w:r>
    </w:p>
    <w:p>
      <w:r>
        <w:rPr>
          <w:rFonts w:ascii="等线(中文正文)" w:hAnsi="等线(中文正文)" w:cs="等线(中文正文)" w:eastAsia="等线(中文正文)"/>
          <w:b w:val="false"/>
          <w:i w:val="false"/>
          <w:sz w:val="20"/>
        </w:rPr>
        <w:t>对话深入探讨了解读党政公安报告的多个维度，包括词频分析、首次提及的重要性、篇幅与位置的考量，以及措辞力度的解读。通过2023年经济金融会议的案例，展示了政策调整对经济指标关注点的影响，强调了价格水平维稳作为调控目标的重要性。</w:t>
      </w:r>
    </w:p>
    <w:p>
      <w:r>
        <w:rPr>
          <w:rFonts w:ascii="等线(中文正文)" w:hAnsi="等线(中文正文)" w:cs="等线(中文正文)" w:eastAsia="等线(中文正文)"/>
          <w:b w:val="false"/>
          <w:i w:val="false"/>
          <w:sz w:val="20"/>
        </w:rPr>
        <w:t/>
      </w:r>
    </w:p>
    <w:p>
      <w:pPr>
        <w:pStyle w:val="ab"/>
        <w:numPr>
          <w:numId w:val="34"/>
        </w:numPr>
      </w:pPr>
      <w:r>
        <w:t>01:18:08 924政策对行业影响分析及量化研究</w:t>
      </w:r>
    </w:p>
    <w:p>
      <w:r>
        <w:rPr>
          <w:rFonts w:ascii="等线(中文正文)" w:hAnsi="等线(中文正文)" w:cs="等线(中文正文)" w:eastAsia="等线(中文正文)"/>
          <w:b w:val="false"/>
          <w:i w:val="false"/>
          <w:sz w:val="20"/>
        </w:rPr>
        <w:t>讨论了924政策后行业超额上涨特征，提出政策景气度量化模型，分析政策对投资决策的影响，强调投资需谨慎，内容仅供中信建投白名单客户参考。</w:t>
      </w:r>
    </w:p>
    <w:p>
      <w:r>
        <w:rPr>
          <w:rFonts w:ascii="等线(中文正文)" w:hAnsi="等线(中文正文)" w:cs="等线(中文正文)" w:eastAsia="等线(中文正文)"/>
          <w:b w:val="false"/>
          <w:i w:val="false"/>
          <w:sz w:val="20"/>
        </w:rPr>
        <w:t/>
      </w:r>
    </w:p>
    <w:p>
      <w:pPr>
        <w:pStyle w:val="a7"/>
      </w:pPr>
      <w:r>
        <w:t>发言总结</w:t>
      </w:r>
    </w:p>
    <w:p>
      <w:pPr>
        <w:pStyle w:val="ab"/>
        <w:numPr>
          <w:numId w:val="35"/>
        </w:numPr>
      </w:pPr>
      <w:r>
        <w:t>发言人1</w:t>
      </w:r>
    </w:p>
    <w:p>
      <w:r>
        <w:rPr>
          <w:rFonts w:ascii="等线(中文正文)" w:hAnsi="等线(中文正文)" w:cs="等线(中文正文)" w:eastAsia="等线(中文正文)"/>
          <w:b w:val="false"/>
          <w:i w:val="false"/>
          <w:sz w:val="20"/>
        </w:rPr>
        <w:t>首先强调了金融市场关注的两个核心点：流动性及其细分机构流动性，深入讨论了央行行为、市场反应和政策影响。提出流动性管理不仅是央行职责，还须考虑市场对政策的接受度，通过具体案例分析，强调了财政与货币政策对经济周期调节的作用。发言人还讨论了政策研究的重要性，包括解读政策信号、捕捉价值信息的策略及应用政策信息优化投资决策的方法。在中信建投的演讲中，他介绍了公司新发展策略，包括智慧化研究推动和国际化战略，特别是在上海和捷克成立未来产业研究院，以及在全球范围内扩展研究团队的计划。此外，他分享了关于宏观经济、政策走向、债券市场分析框架的观点，突出了中信建投深化研究、强化国际视野和提升研究质量的承诺。</w:t>
      </w:r>
    </w:p>
    <w:p>
      <w:r>
        <w:rPr>
          <w:rFonts w:ascii="等线(中文正文)" w:hAnsi="等线(中文正文)" w:cs="等线(中文正文)" w:eastAsia="等线(中文正文)"/>
          <w:b w:val="false"/>
          <w:i w:val="false"/>
          <w:sz w:val="20"/>
        </w:rPr>
        <w:t/>
      </w:r>
    </w:p>
    <w:p>
      <w:pPr>
        <w:pStyle w:val="a7"/>
      </w:pPr>
      <w:r>
        <w:t>要点回顾</w:t>
      </w:r>
    </w:p>
    <w:p>
      <w:pPr>
        <w:pStyle w:val="ab"/>
      </w:pPr>
      <w:r>
        <w:t>在本次会议上，参会者是否可以制作和转发会议纪要？中信建投如何处理与已上市公司和海外上市公司的交流？</w:t>
      </w:r>
    </w:p>
    <w:p>
      <w:r>
        <w:rPr>
          <w:rFonts w:ascii="等线(中文正文)" w:hAnsi="等线(中文正文)" w:cs="等线(中文正文)" w:eastAsia="等线(中文正文)"/>
          <w:b w:val="false"/>
          <w:i w:val="false"/>
          <w:sz w:val="20"/>
        </w:rPr>
        <w:t>发言人1：参会者不得制作会议纪要，包括文字、录音、录像、截屏等形式，并对外转发给其他个人或机构。擅自制作、编辑及转发会议纪要引起不当传播的，中信建投有权追究其法律责任。中信建投通过电话会议或现场形式，邀请海外上市公司参与与中国A股及海外投资者的线上线下交流，以此作为新的常态，加强与国际市场的互动。</w:t>
      </w:r>
    </w:p>
    <w:p>
      <w:r>
        <w:rPr>
          <w:rFonts w:ascii="等线(中文正文)" w:hAnsi="等线(中文正文)" w:cs="等线(中文正文)" w:eastAsia="等线(中文正文)"/>
          <w:b w:val="false"/>
          <w:i w:val="false"/>
          <w:sz w:val="20"/>
        </w:rPr>
        <w:t/>
      </w:r>
    </w:p>
    <w:p>
      <w:pPr>
        <w:pStyle w:val="ab"/>
      </w:pPr>
      <w:r>
        <w:t>本次会议内容是否构成对参会者的投资建议，以及中信建投对会议内容准确性、时效性的承诺如何？</w:t>
      </w:r>
    </w:p>
    <w:p>
      <w:r>
        <w:rPr>
          <w:rFonts w:ascii="等线(中文正文)" w:hAnsi="等线(中文正文)" w:cs="等线(中文正文)" w:eastAsia="等线(中文正文)"/>
          <w:b w:val="false"/>
          <w:i w:val="false"/>
          <w:sz w:val="20"/>
        </w:rPr>
        <w:t>发言人1：本次会议内容不构成对参会者的投资建议，中信建投不对会议中包含的信息准确性、时效性及完整性作任何保证。</w:t>
      </w:r>
    </w:p>
    <w:p>
      <w:r>
        <w:rPr>
          <w:rFonts w:ascii="等线(中文正文)" w:hAnsi="等线(中文正文)" w:cs="等线(中文正文)" w:eastAsia="等线(中文正文)"/>
          <w:b w:val="false"/>
          <w:i w:val="false"/>
          <w:sz w:val="20"/>
        </w:rPr>
        <w:t/>
      </w:r>
    </w:p>
    <w:p>
      <w:pPr>
        <w:pStyle w:val="ab"/>
      </w:pPr>
      <w:r>
        <w:t>中信建投研究所最近有哪些新发展模式的探索和布局？</w:t>
      </w:r>
    </w:p>
    <w:p>
      <w:r>
        <w:rPr>
          <w:rFonts w:ascii="等线(中文正文)" w:hAnsi="等线(中文正文)" w:cs="等线(中文正文)" w:eastAsia="等线(中文正文)"/>
          <w:b w:val="false"/>
          <w:i w:val="false"/>
          <w:sz w:val="20"/>
        </w:rPr>
        <w:t>发言人1：研究所正推动智慧化研究，成立了中信建投未来产业研究院，聚焦地方政府、未来产业和新兴产业，进行深入研究并计划推出未来产业投资地图等产品。同时，研究所也在国际化方面努力，打造全球投资研究团队，并将在各地域布局，举办国际化的系列会议。</w:t>
      </w:r>
    </w:p>
    <w:p>
      <w:r>
        <w:rPr>
          <w:rFonts w:ascii="等线(中文正文)" w:hAnsi="等线(中文正文)" w:cs="等线(中文正文)" w:eastAsia="等线(中文正文)"/>
          <w:b w:val="false"/>
          <w:i w:val="false"/>
          <w:sz w:val="20"/>
        </w:rPr>
        <w:t/>
      </w:r>
    </w:p>
    <w:p>
      <w:pPr>
        <w:pStyle w:val="ab"/>
      </w:pPr>
      <w:r>
        <w:t>对于宏观经济、固定收益及政策研究，团队将如何分享研究成果？</w:t>
      </w:r>
    </w:p>
    <w:p>
      <w:r>
        <w:rPr>
          <w:rFonts w:ascii="等线(中文正文)" w:hAnsi="等线(中文正文)" w:cs="等线(中文正文)" w:eastAsia="等线(中文正文)"/>
          <w:b w:val="false"/>
          <w:i w:val="false"/>
          <w:sz w:val="20"/>
        </w:rPr>
        <w:t>发言人1：团队将通过框架培训的形式，在八月时间段内陆续输出过去积累的研究成果和对当下宏观及资产配置的思考。此外，也会根据市场反馈和关注热点，系列推出局部领域的框架培训，以更详尽地覆盖各类资产和宏观经济主题。</w:t>
      </w:r>
    </w:p>
    <w:p>
      <w:r>
        <w:rPr>
          <w:rFonts w:ascii="等线(中文正文)" w:hAnsi="等线(中文正文)" w:cs="等线(中文正文)" w:eastAsia="等线(中文正文)"/>
          <w:b w:val="false"/>
          <w:i w:val="false"/>
          <w:sz w:val="20"/>
        </w:rPr>
        <w:t/>
      </w:r>
    </w:p>
    <w:p>
      <w:pPr>
        <w:pStyle w:val="ab"/>
      </w:pPr>
      <w:r>
        <w:t>为什么提出构建新宏观范式和资产配置框架？</w:t>
      </w:r>
    </w:p>
    <w:p>
      <w:r>
        <w:rPr>
          <w:rFonts w:ascii="等线(中文正文)" w:hAnsi="等线(中文正文)" w:cs="等线(中文正文)" w:eastAsia="等线(中文正文)"/>
          <w:b w:val="false"/>
          <w:i w:val="false"/>
          <w:sz w:val="20"/>
        </w:rPr>
        <w:t>发言人1：过去几年中，底层宏观逻辑发生显著变化，资产表现与过去几十年相比呈现出明显差异。为了捕捉到这些变化，团队认为有必要重塑原有的宏观研究框架，采用新范式来理解和分析当前经济形势。</w:t>
      </w:r>
    </w:p>
    <w:p>
      <w:r>
        <w:rPr>
          <w:rFonts w:ascii="等线(中文正文)" w:hAnsi="等线(中文正文)" w:cs="等线(中文正文)" w:eastAsia="等线(中文正文)"/>
          <w:b w:val="false"/>
          <w:i w:val="false"/>
          <w:sz w:val="20"/>
        </w:rPr>
        <w:t/>
      </w:r>
    </w:p>
    <w:p>
      <w:pPr>
        <w:pStyle w:val="ab"/>
      </w:pPr>
      <w:r>
        <w:t>在2020年后，黄金与美元指数、实际利率的关系是否发生了变化？</w:t>
      </w:r>
    </w:p>
    <w:p>
      <w:r>
        <w:rPr>
          <w:rFonts w:ascii="等线(中文正文)" w:hAnsi="等线(中文正文)" w:cs="等线(中文正文)" w:eastAsia="等线(中文正文)"/>
          <w:b w:val="false"/>
          <w:i w:val="false"/>
          <w:sz w:val="20"/>
        </w:rPr>
        <w:t>发言人1：是的，在2020年后，之前的经验规律显示黄金与美元指数、实际利率存在一定的相关性，但在2020年之后这些规律被打破了。现在黄金市场也在发出信号，表明全球宏观底层逻辑发生了变化，导致过去20年适用的一些经验规律不再适用。</w:t>
      </w:r>
    </w:p>
    <w:p>
      <w:r>
        <w:rPr>
          <w:rFonts w:ascii="等线(中文正文)" w:hAnsi="等线(中文正文)" w:cs="等线(中文正文)" w:eastAsia="等线(中文正文)"/>
          <w:b w:val="false"/>
          <w:i w:val="false"/>
          <w:sz w:val="20"/>
        </w:rPr>
        <w:t/>
      </w:r>
    </w:p>
    <w:p>
      <w:pPr>
        <w:pStyle w:val="ab"/>
      </w:pPr>
      <w:r>
        <w:t>铜价的表现与传统需求法及流动性预期有何不同之处？</w:t>
      </w:r>
    </w:p>
    <w:p>
      <w:r>
        <w:rPr>
          <w:rFonts w:ascii="等线(中文正文)" w:hAnsi="等线(中文正文)" w:cs="等线(中文正文)" w:eastAsia="等线(中文正文)"/>
          <w:b w:val="false"/>
          <w:i w:val="false"/>
          <w:sz w:val="20"/>
        </w:rPr>
        <w:t>发言人1：铜价的表现并不完全符合传统的需求法则，尤其是在2023年，尽管地产需求较弱，但铜价却表现出强劲的上涨趋势，这与流动性宽松预期、需求触底回升等概念不符，显示出全球市场存在新的变化。</w:t>
      </w:r>
    </w:p>
    <w:p>
      <w:r>
        <w:rPr>
          <w:rFonts w:ascii="等线(中文正文)" w:hAnsi="等线(中文正文)" w:cs="等线(中文正文)" w:eastAsia="等线(中文正文)"/>
          <w:b w:val="false"/>
          <w:i w:val="false"/>
          <w:sz w:val="20"/>
        </w:rPr>
        <w:t/>
      </w:r>
    </w:p>
    <w:p>
      <w:pPr>
        <w:pStyle w:val="ab"/>
      </w:pPr>
      <w:r>
        <w:t>为什么需要构建新的宏观资产定价框架？</w:t>
      </w:r>
    </w:p>
    <w:p>
      <w:r>
        <w:rPr>
          <w:rFonts w:ascii="等线(中文正文)" w:hAnsi="等线(中文正文)" w:cs="等线(中文正文)" w:eastAsia="等线(中文正文)"/>
          <w:b w:val="false"/>
          <w:i w:val="false"/>
          <w:sz w:val="20"/>
        </w:rPr>
        <w:t>发言人1：过去五年许多资产的经验规律都在打破，这说明自2022年起，深刻的宏观驱动力正在发生，这是过去20年传统资产定价方法捕捉不到的。因此，构建新的宏观资产定价框架来理解和适应这些变化至关重要。</w:t>
      </w:r>
    </w:p>
    <w:p>
      <w:r>
        <w:rPr>
          <w:rFonts w:ascii="等线(中文正文)" w:hAnsi="等线(中文正文)" w:cs="等线(中文正文)" w:eastAsia="等线(中文正文)"/>
          <w:b w:val="false"/>
          <w:i w:val="false"/>
          <w:sz w:val="20"/>
        </w:rPr>
        <w:t/>
      </w:r>
    </w:p>
    <w:p>
      <w:pPr>
        <w:pStyle w:val="ab"/>
      </w:pPr>
      <w:r>
        <w:t>新宏观研究范式的核心是什么？</w:t>
      </w:r>
    </w:p>
    <w:p>
      <w:r>
        <w:rPr>
          <w:rFonts w:ascii="等线(中文正文)" w:hAnsi="等线(中文正文)" w:cs="等线(中文正文)" w:eastAsia="等线(中文正文)"/>
          <w:b w:val="false"/>
          <w:i w:val="false"/>
          <w:sz w:val="20"/>
        </w:rPr>
        <w:t>发言人1：新范式的核心是识别当前最重要的宏观驱动力，即全球正处于新旧秩序的更替阶段。这一新框架帮助我们更好地理解2022年之后的宏观经济动态，并且通过它对许多资产、政策和经济数据的方向做出较为准确的预判。</w:t>
      </w:r>
    </w:p>
    <w:p>
      <w:r>
        <w:rPr>
          <w:rFonts w:ascii="等线(中文正文)" w:hAnsi="等线(中文正文)" w:cs="等线(中文正文)" w:eastAsia="等线(中文正文)"/>
          <w:b w:val="false"/>
          <w:i w:val="false"/>
          <w:sz w:val="20"/>
        </w:rPr>
        <w:t/>
      </w:r>
    </w:p>
    <w:p>
      <w:pPr>
        <w:pStyle w:val="ab"/>
      </w:pPr>
      <w:r>
        <w:t>美债利率的变化体现了什么样的宏观逻辑变化？</w:t>
      </w:r>
    </w:p>
    <w:p>
      <w:r>
        <w:rPr>
          <w:rFonts w:ascii="等线(中文正文)" w:hAnsi="等线(中文正文)" w:cs="等线(中文正文)" w:eastAsia="等线(中文正文)"/>
          <w:b w:val="false"/>
          <w:i w:val="false"/>
          <w:sz w:val="20"/>
        </w:rPr>
        <w:t>发言人1：美债利率的变化反映出信用松动的现象，尤其在经济增长疲弱的地区，债券利率反而上行，这表明国家信用正在出现松动，而这种信用松动背后实质上反映了全球新旧秩序的重建和供给侧的重大变化。</w:t>
      </w:r>
    </w:p>
    <w:p>
      <w:r>
        <w:rPr>
          <w:rFonts w:ascii="等线(中文正文)" w:hAnsi="等线(中文正文)" w:cs="等线(中文正文)" w:eastAsia="等线(中文正文)"/>
          <w:b w:val="false"/>
          <w:i w:val="false"/>
          <w:sz w:val="20"/>
        </w:rPr>
        <w:t/>
      </w:r>
    </w:p>
    <w:p>
      <w:pPr>
        <w:pStyle w:val="ab"/>
      </w:pPr>
      <w:r>
        <w:t>全球供给侧改革如何影响宏观研究和资产配置？</w:t>
      </w:r>
    </w:p>
    <w:p>
      <w:r>
        <w:rPr>
          <w:rFonts w:ascii="等线(中文正文)" w:hAnsi="等线(中文正文)" w:cs="等线(中文正文)" w:eastAsia="等线(中文正文)"/>
          <w:b w:val="false"/>
          <w:i w:val="false"/>
          <w:sz w:val="20"/>
        </w:rPr>
        <w:t>发言人1：全球供给侧的深刻变化要求我们摒弃旧的宏观经济框架，转向新的经济逻辑和资产配置框架。过去依赖的需求侧因素不再是主导，而是供给层面尤其是科技、资源品和供应链等方面的变革。我们需要深入理解这种供给侧的变化，并基于此重构对经济周期、政策和资产走势的认知。</w:t>
      </w:r>
    </w:p>
    <w:p>
      <w:r>
        <w:rPr>
          <w:rFonts w:ascii="等线(中文正文)" w:hAnsi="等线(中文正文)" w:cs="等线(中文正文)" w:eastAsia="等线(中文正文)"/>
          <w:b w:val="false"/>
          <w:i w:val="false"/>
          <w:sz w:val="20"/>
        </w:rPr>
        <w:t/>
      </w:r>
    </w:p>
    <w:p>
      <w:pPr>
        <w:pStyle w:val="ab"/>
      </w:pPr>
      <w:r>
        <w:t>在科技周期的研究上，团队是否能够准确把握每一波科技周期的底层驱动力？</w:t>
      </w:r>
    </w:p>
    <w:p>
      <w:r>
        <w:rPr>
          <w:rFonts w:ascii="等线(中文正文)" w:hAnsi="等线(中文正文)" w:cs="等线(中文正文)" w:eastAsia="等线(中文正文)"/>
          <w:b w:val="false"/>
          <w:i w:val="false"/>
          <w:sz w:val="20"/>
        </w:rPr>
        <w:t>发言人1：客观来说，我们当时并没有做到，尤其是在宏观经济方向和情绪节奏的捕捉上。未来我们会加强对短周期的研究，以更精确地把握市场变化。</w:t>
      </w:r>
    </w:p>
    <w:p>
      <w:r>
        <w:rPr>
          <w:rFonts w:ascii="等线(中文正文)" w:hAnsi="等线(中文正文)" w:cs="等线(中文正文)" w:eastAsia="等线(中文正文)"/>
          <w:b w:val="false"/>
          <w:i w:val="false"/>
          <w:sz w:val="20"/>
        </w:rPr>
        <w:t/>
      </w:r>
    </w:p>
    <w:p>
      <w:pPr>
        <w:pStyle w:val="ab"/>
      </w:pPr>
      <w:r>
        <w:t>团队对于宏观经济趋势和资产配置有哪些深入研究？</w:t>
      </w:r>
    </w:p>
    <w:p>
      <w:r>
        <w:rPr>
          <w:rFonts w:ascii="等线(中文正文)" w:hAnsi="等线(中文正文)" w:cs="等线(中文正文)" w:eastAsia="等线(中文正文)"/>
          <w:b w:val="false"/>
          <w:i w:val="false"/>
          <w:sz w:val="20"/>
        </w:rPr>
        <w:t>发言人1：团队对宏观经济指标、周期本质和国家政策框架有系统性的研究，积累了几十篇深度报告，并且对于资产的复盘和交易逻辑也有详尽分析，可以随时提供给客户。但未来我们会更加注重研究的落地性和择时精准度。</w:t>
      </w:r>
    </w:p>
    <w:p>
      <w:r>
        <w:rPr>
          <w:rFonts w:ascii="等线(中文正文)" w:hAnsi="等线(中文正文)" w:cs="等线(中文正文)" w:eastAsia="等线(中文正文)"/>
          <w:b w:val="false"/>
          <w:i w:val="false"/>
          <w:sz w:val="20"/>
        </w:rPr>
        <w:t/>
      </w:r>
    </w:p>
    <w:p>
      <w:pPr>
        <w:pStyle w:val="ab"/>
      </w:pPr>
      <w:r>
        <w:t>对于二级市场的投资来说，如何平衡长期方向与短期交易机会？</w:t>
      </w:r>
    </w:p>
    <w:p>
      <w:r>
        <w:rPr>
          <w:rFonts w:ascii="等线(中文正文)" w:hAnsi="等线(中文正文)" w:cs="等线(中文正文)" w:eastAsia="等线(中文正文)"/>
          <w:b w:val="false"/>
          <w:i w:val="false"/>
          <w:sz w:val="20"/>
        </w:rPr>
        <w:t>发言人1：二级市场投资既需要关注长期方向作为背景板，避免犯大错和错失大机会；更应在小节奏的机会中灵活运用，提高交易效率，与市场共同成长。</w:t>
      </w:r>
    </w:p>
    <w:p>
      <w:r>
        <w:rPr>
          <w:rFonts w:ascii="等线(中文正文)" w:hAnsi="等线(中文正文)" w:cs="等线(中文正文)" w:eastAsia="等线(中文正文)"/>
          <w:b w:val="false"/>
          <w:i w:val="false"/>
          <w:sz w:val="20"/>
        </w:rPr>
        <w:t/>
      </w:r>
    </w:p>
    <w:p>
      <w:pPr>
        <w:pStyle w:val="ab"/>
      </w:pPr>
      <w:r>
        <w:t>分享中会涵盖哪些具体内容？</w:t>
      </w:r>
    </w:p>
    <w:p>
      <w:r>
        <w:rPr>
          <w:rFonts w:ascii="等线(中文正文)" w:hAnsi="等线(中文正文)" w:cs="等线(中文正文)" w:eastAsia="等线(中文正文)"/>
          <w:b w:val="false"/>
          <w:i w:val="false"/>
          <w:sz w:val="20"/>
        </w:rPr>
        <w:t>发言人1：分享将包括宏观、资产配置相关的内容，以及债券市场的基础知识、基本面分析、市场关注的焦点（如流动性、机构行为以及政策影响）以及交易策略和投资判断。</w:t>
      </w:r>
    </w:p>
    <w:p>
      <w:r>
        <w:rPr>
          <w:rFonts w:ascii="等线(中文正文)" w:hAnsi="等线(中文正文)" w:cs="等线(中文正文)" w:eastAsia="等线(中文正文)"/>
          <w:b w:val="false"/>
          <w:i w:val="false"/>
          <w:sz w:val="20"/>
        </w:rPr>
        <w:t/>
      </w:r>
    </w:p>
    <w:p>
      <w:pPr>
        <w:pStyle w:val="ab"/>
      </w:pPr>
      <w:r>
        <w:t>债券定价时应关注哪些基础知识？</w:t>
      </w:r>
    </w:p>
    <w:p>
      <w:r>
        <w:rPr>
          <w:rFonts w:ascii="等线(中文正文)" w:hAnsi="等线(中文正文)" w:cs="等线(中文正文)" w:eastAsia="等线(中文正文)"/>
          <w:b w:val="false"/>
          <w:i w:val="false"/>
          <w:sz w:val="20"/>
        </w:rPr>
        <w:t>发言人1：基础知识方面，首先会介绍债券市场的构成，例如利率债、信用债、存单等主流品种的占比情况；同时也会讲解监管体系，以便帮助理解政策和法律框架对债券市场的影响。</w:t>
      </w:r>
    </w:p>
    <w:p>
      <w:r>
        <w:rPr>
          <w:rFonts w:ascii="等线(中文正文)" w:hAnsi="等线(中文正文)" w:cs="等线(中文正文)" w:eastAsia="等线(中文正文)"/>
          <w:b w:val="false"/>
          <w:i w:val="false"/>
          <w:sz w:val="20"/>
        </w:rPr>
        <w:t/>
      </w:r>
    </w:p>
    <w:p>
      <w:pPr>
        <w:pStyle w:val="ab"/>
      </w:pPr>
      <w:r>
        <w:t>目前市场对基本面的关注程度如何？</w:t>
      </w:r>
    </w:p>
    <w:p>
      <w:r>
        <w:rPr>
          <w:rFonts w:ascii="等线(中文正文)" w:hAnsi="等线(中文正文)" w:cs="等线(中文正文)" w:eastAsia="等线(中文正文)"/>
          <w:b w:val="false"/>
          <w:i w:val="false"/>
          <w:sz w:val="20"/>
        </w:rPr>
        <w:t>发言人1：近期市场对基本面的关注度有所下降，更多转向交易层面，如资金价格波动、机构行为等。然而，基本面数据仍对债券市场具有指导意义，尤其是在判断经济触底反弹空间和进一步下行可能性时，通过分析高频数据的趋势延续性和拐点可能性来辅助决策。</w:t>
      </w:r>
    </w:p>
    <w:p>
      <w:r>
        <w:rPr>
          <w:rFonts w:ascii="等线(中文正文)" w:hAnsi="等线(中文正文)" w:cs="等线(中文正文)" w:eastAsia="等线(中文正文)"/>
          <w:b w:val="false"/>
          <w:i w:val="false"/>
          <w:sz w:val="20"/>
        </w:rPr>
        <w:t/>
      </w:r>
    </w:p>
    <w:p>
      <w:pPr>
        <w:pStyle w:val="ab"/>
      </w:pPr>
      <w:r>
        <w:t>债券分析的主要抓手是什么？</w:t>
      </w:r>
    </w:p>
    <w:p>
      <w:r>
        <w:rPr>
          <w:rFonts w:ascii="等线(中文正文)" w:hAnsi="等线(中文正文)" w:cs="等线(中文正文)" w:eastAsia="等线(中文正文)"/>
          <w:b w:val="false"/>
          <w:i w:val="false"/>
          <w:sz w:val="20"/>
        </w:rPr>
        <w:t>发言人1：尽管债券分析可以沿用传统的“五面框架”（基本面、政策面、资金面、情绪面和操作面），但在不同阶段可能有不同的关注重点。当前阶段，宏观经济方向的确定对债券方向有决定性作用，而高频数据如资金价格约束、央行政策等也会对债券走势产生重要影响。</w:t>
      </w:r>
    </w:p>
    <w:p>
      <w:r>
        <w:rPr>
          <w:rFonts w:ascii="等线(中文正文)" w:hAnsi="等线(中文正文)" w:cs="等线(中文正文)" w:eastAsia="等线(中文正文)"/>
          <w:b w:val="false"/>
          <w:i w:val="false"/>
          <w:sz w:val="20"/>
        </w:rPr>
        <w:t/>
      </w:r>
    </w:p>
    <w:p>
      <w:pPr>
        <w:pStyle w:val="ab"/>
      </w:pPr>
      <w:r>
        <w:t>在分析财政时，市场关注的重点是什么？</w:t>
      </w:r>
    </w:p>
    <w:p>
      <w:r>
        <w:rPr>
          <w:rFonts w:ascii="等线(中文正文)" w:hAnsi="等线(中文正文)" w:cs="等线(中文正文)" w:eastAsia="等线(中文正文)"/>
          <w:b w:val="false"/>
          <w:i w:val="false"/>
          <w:sz w:val="20"/>
        </w:rPr>
        <w:t>发言人1：在分析财政时，市场重点关注全年财政的总量、期限和节奏，尤其是与政府债券发行相关的供给量。同时，也会关注财政政策的边际取向，即政策是变得更紧还是更松，并通过财政的公开发言、收支进度等信息来判断。</w:t>
      </w:r>
    </w:p>
    <w:p>
      <w:r>
        <w:rPr>
          <w:rFonts w:ascii="等线(中文正文)" w:hAnsi="等线(中文正文)" w:cs="等线(中文正文)" w:eastAsia="等线(中文正文)"/>
          <w:b w:val="false"/>
          <w:i w:val="false"/>
          <w:sz w:val="20"/>
        </w:rPr>
        <w:t/>
      </w:r>
    </w:p>
    <w:p>
      <w:pPr>
        <w:pStyle w:val="ab"/>
      </w:pPr>
      <w:r>
        <w:t>财政政策分析框架中主基调和行动分别指什么？</w:t>
      </w:r>
    </w:p>
    <w:p>
      <w:r>
        <w:rPr>
          <w:rFonts w:ascii="等线(中文正文)" w:hAnsi="等线(中文正文)" w:cs="等线(中文正文)" w:eastAsia="等线(中文正文)"/>
          <w:b w:val="false"/>
          <w:i w:val="false"/>
          <w:sz w:val="20"/>
        </w:rPr>
        <w:t>发言人1：主基调主要关注财政的公开表态和声明，而行动则主要通过财政的实际收支表现，尤其是税收和支出情况来体现。在实际操作层面，主基调和行动的一致性很重要，当两者不一致时，行动往往更为关键。</w:t>
      </w:r>
    </w:p>
    <w:p>
      <w:r>
        <w:rPr>
          <w:rFonts w:ascii="等线(中文正文)" w:hAnsi="等线(中文正文)" w:cs="等线(中文正文)" w:eastAsia="等线(中文正文)"/>
          <w:b w:val="false"/>
          <w:i w:val="false"/>
          <w:sz w:val="20"/>
        </w:rPr>
        <w:t/>
      </w:r>
    </w:p>
    <w:p>
      <w:pPr>
        <w:pStyle w:val="ab"/>
      </w:pPr>
      <w:r>
        <w:t>对于债券市场来说，有哪些重要的博弈时间点？</w:t>
      </w:r>
    </w:p>
    <w:p>
      <w:r>
        <w:rPr>
          <w:rFonts w:ascii="等线(中文正文)" w:hAnsi="等线(中文正文)" w:cs="等线(中文正文)" w:eastAsia="等线(中文正文)"/>
          <w:b w:val="false"/>
          <w:i w:val="false"/>
          <w:sz w:val="20"/>
        </w:rPr>
        <w:t>发言人1：债券市场博弈的关键时间点包括三月份两会期间可能公布的债券额度及发行久期、操作量；四月份对于全年债券发行计划的推断；8月和9月份观察中央债发行进度，判断是否会出现特别国债；以及10月份根据当年财政状况决定是否发行特别国债的交易。</w:t>
      </w:r>
    </w:p>
    <w:p>
      <w:r>
        <w:rPr>
          <w:rFonts w:ascii="等线(中文正文)" w:hAnsi="等线(中文正文)" w:cs="等线(中文正文)" w:eastAsia="等线(中文正文)"/>
          <w:b w:val="false"/>
          <w:i w:val="false"/>
          <w:sz w:val="20"/>
        </w:rPr>
        <w:t/>
      </w:r>
    </w:p>
    <w:p>
      <w:pPr>
        <w:pStyle w:val="ab"/>
      </w:pPr>
      <w:r>
        <w:t>货币政策的分析框架有哪些特点？</w:t>
      </w:r>
    </w:p>
    <w:p>
      <w:r>
        <w:rPr>
          <w:rFonts w:ascii="等线(中文正文)" w:hAnsi="等线(中文正文)" w:cs="等线(中文正文)" w:eastAsia="等线(中文正文)"/>
          <w:b w:val="false"/>
          <w:i w:val="false"/>
          <w:sz w:val="20"/>
        </w:rPr>
        <w:t>发言人1：货币政策分析框架中，首要关注政策态度及其目标，例如我国货币政策多目标制中的经济增长、物价稳定、金融稳定和国际收支平衡。在确定政策目标后，会分析政策工具及其传导机制，并考虑到政策工具对不同经济目标的影响程度。此外，从2021年开始，央行正逐步推进从数量型向价格型的货币政策转型。</w:t>
      </w:r>
    </w:p>
    <w:p>
      <w:r>
        <w:rPr>
          <w:rFonts w:ascii="等线(中文正文)" w:hAnsi="等线(中文正文)" w:cs="等线(中文正文)" w:eastAsia="等线(中文正文)"/>
          <w:b w:val="false"/>
          <w:i w:val="false"/>
          <w:sz w:val="20"/>
        </w:rPr>
        <w:t/>
      </w:r>
    </w:p>
    <w:p>
      <w:pPr>
        <w:pStyle w:val="ab"/>
      </w:pPr>
      <w:r>
        <w:t>在当前经济环境下，降准政策如何影响实体经济？</w:t>
      </w:r>
    </w:p>
    <w:p>
      <w:r>
        <w:rPr>
          <w:rFonts w:ascii="等线(中文正文)" w:hAnsi="等线(中文正文)" w:cs="等线(中文正文)" w:eastAsia="等线(中文正文)"/>
          <w:b w:val="false"/>
          <w:i w:val="false"/>
          <w:sz w:val="20"/>
        </w:rPr>
        <w:t>发言人1：降准政策在实施时，首先向商业银行投放资金，但商业银行由于其三性合一的特性（包括政治性、盈利性和风险性），在将这部分资金有效传导至实体经济的过程中存在效率问题。因此，降准对实体经济的有效刺激作用并不明显，更多时候降准更多起到信号作用，并在特定会议或政策背景下产生宏观政策效果。</w:t>
      </w:r>
    </w:p>
    <w:p>
      <w:r>
        <w:rPr>
          <w:rFonts w:ascii="等线(中文正文)" w:hAnsi="等线(中文正文)" w:cs="等线(中文正文)" w:eastAsia="等线(中文正文)"/>
          <w:b w:val="false"/>
          <w:i w:val="false"/>
          <w:sz w:val="20"/>
        </w:rPr>
        <w:t/>
      </w:r>
    </w:p>
    <w:p>
      <w:pPr>
        <w:pStyle w:val="ab"/>
      </w:pPr>
      <w:r>
        <w:t>现在市场流动性主要通过哪些方式补充？</w:t>
      </w:r>
    </w:p>
    <w:p>
      <w:r>
        <w:rPr>
          <w:rFonts w:ascii="等线(中文正文)" w:hAnsi="等线(中文正文)" w:cs="等线(中文正文)" w:eastAsia="等线(中文正文)"/>
          <w:b w:val="false"/>
          <w:i w:val="false"/>
          <w:sz w:val="20"/>
        </w:rPr>
        <w:t>发言人1：目前市场流动性主要通过隔夜拆借、固定期限的资金投放（如麻辣粉等）等方式补充，形成了一套较为固定的流动性投放规范，以提供给负债端流动性。</w:t>
      </w:r>
    </w:p>
    <w:p>
      <w:r>
        <w:rPr>
          <w:rFonts w:ascii="等线(中文正文)" w:hAnsi="等线(中文正文)" w:cs="等线(中文正文)" w:eastAsia="等线(中文正文)"/>
          <w:b w:val="false"/>
          <w:i w:val="false"/>
          <w:sz w:val="20"/>
        </w:rPr>
        <w:t/>
      </w:r>
    </w:p>
    <w:p>
      <w:pPr>
        <w:pStyle w:val="ab"/>
      </w:pPr>
      <w:r>
        <w:t>从数量型货币政策转向价格型货币政策的关键点是什么？</w:t>
      </w:r>
    </w:p>
    <w:p>
      <w:r>
        <w:rPr>
          <w:rFonts w:ascii="等线(中文正文)" w:hAnsi="等线(中文正文)" w:cs="等线(中文正文)" w:eastAsia="等线(中文正文)"/>
          <w:b w:val="false"/>
          <w:i w:val="false"/>
          <w:sz w:val="20"/>
        </w:rPr>
        <w:t>发言人1：关键在于货币政策参考指标的变化。过去参考的是企业规模等总量指标，而现在随着隔夜拆借利率逐渐成为政策利率，并通过控制政策利率引导市场利率，货币政策开始更侧重于价格调控，例如通过买断式投放资金等方式来调整边际价格。</w:t>
      </w:r>
    </w:p>
    <w:p>
      <w:r>
        <w:rPr>
          <w:rFonts w:ascii="等线(中文正文)" w:hAnsi="等线(中文正文)" w:cs="等线(中文正文)" w:eastAsia="等线(中文正文)"/>
          <w:b w:val="false"/>
          <w:i w:val="false"/>
          <w:sz w:val="20"/>
        </w:rPr>
        <w:t/>
      </w:r>
    </w:p>
    <w:p>
      <w:pPr>
        <w:pStyle w:val="ab"/>
      </w:pPr>
      <w:r>
        <w:t>如何分析货币政策的目标及实现方式？</w:t>
      </w:r>
    </w:p>
    <w:p>
      <w:r>
        <w:rPr>
          <w:rFonts w:ascii="等线(中文正文)" w:hAnsi="等线(中文正文)" w:cs="等线(中文正文)" w:eastAsia="等线(中文正文)"/>
          <w:b w:val="false"/>
          <w:i w:val="false"/>
          <w:sz w:val="20"/>
        </w:rPr>
        <w:t>发言人1：分析货币政策时，首先要明确其目标，目标通常可以从央行对外沟通时的措辞变化中获取线索，尤其是在重大会议后。此外，还可以通过观察季度末的金融数据发布会、货币政策执行报告以及货币政策例会中的表述，判断央行对目标的调整方向，从而确定其主基调是宽松还是收紧。同时，根据央行选择的工具（如总量工具或结构性货币政策工具）及其操作方式，进一步推断其边际变化和主基调。</w:t>
      </w:r>
    </w:p>
    <w:p>
      <w:r>
        <w:rPr>
          <w:rFonts w:ascii="等线(中文正文)" w:hAnsi="等线(中文正文)" w:cs="等线(中文正文)" w:eastAsia="等线(中文正文)"/>
          <w:b w:val="false"/>
          <w:i w:val="false"/>
          <w:sz w:val="20"/>
        </w:rPr>
        <w:t/>
      </w:r>
    </w:p>
    <w:p>
      <w:pPr>
        <w:pStyle w:val="ab"/>
      </w:pPr>
      <w:r>
        <w:t>流动性分析中哪些指标更为重要？</w:t>
      </w:r>
    </w:p>
    <w:p>
      <w:r>
        <w:rPr>
          <w:rFonts w:ascii="等线(中文正文)" w:hAnsi="等线(中文正文)" w:cs="等线(中文正文)" w:eastAsia="等线(中文正文)"/>
          <w:b w:val="false"/>
          <w:i w:val="false"/>
          <w:sz w:val="20"/>
        </w:rPr>
        <w:t>发言人1：流动性本质上由央行提供，但市场也会关注资金波动项以判断流动性情况。其中，银行间市场的流动性最为关键，它类似于水盆里的水龙头，能够反映货币供应量与市场需求之间的关系。在银行间市场中，流动性投放的量价问题直接影响到狭义流动性的松紧程度，而广义流动性则涉及权益、债券等不同领域。在周度或月度层面，流动性情况主要通过流动性缺口、各类金融市场的运作以及央行的操作来进行分析判断。</w:t>
      </w:r>
    </w:p>
    <w:p>
      <w:r>
        <w:rPr>
          <w:rFonts w:ascii="等线(中文正文)" w:hAnsi="等线(中文正文)" w:cs="等线(中文正文)" w:eastAsia="等线(中文正文)"/>
          <w:b w:val="false"/>
          <w:i w:val="false"/>
          <w:sz w:val="20"/>
        </w:rPr>
        <w:t/>
      </w:r>
    </w:p>
    <w:p>
      <w:pPr>
        <w:pStyle w:val="ab"/>
      </w:pPr>
      <w:r>
        <w:t>在我们日常早上洗脸时，水池里的水为什么会有溢出的情况？</w:t>
      </w:r>
    </w:p>
    <w:p>
      <w:r>
        <w:rPr>
          <w:rFonts w:ascii="等线(中文正文)" w:hAnsi="等线(中文正文)" w:cs="等线(中文正文)" w:eastAsia="等线(中文正文)"/>
          <w:b w:val="false"/>
          <w:i w:val="false"/>
          <w:sz w:val="20"/>
        </w:rPr>
        <w:t>发言人1：这是因为水管的通畅程度影响了水流效率，当经济状况极度不通畅时，类似水龙头的“水位”（即流动性）会因为持续放水而逐渐升高。</w:t>
      </w:r>
    </w:p>
    <w:p>
      <w:r>
        <w:rPr>
          <w:rFonts w:ascii="等线(中文正文)" w:hAnsi="等线(中文正文)" w:cs="等线(中文正文)" w:eastAsia="等线(中文正文)"/>
          <w:b w:val="false"/>
          <w:i w:val="false"/>
          <w:sz w:val="20"/>
        </w:rPr>
        <w:t/>
      </w:r>
    </w:p>
    <w:p>
      <w:pPr>
        <w:pStyle w:val="ab"/>
      </w:pPr>
      <w:r>
        <w:t>银行为何关注经济指标，特别是流动性问题？</w:t>
      </w:r>
    </w:p>
    <w:p>
      <w:r>
        <w:rPr>
          <w:rFonts w:ascii="等线(中文正文)" w:hAnsi="等线(中文正文)" w:cs="等线(中文正文)" w:eastAsia="等线(中文正文)"/>
          <w:b w:val="false"/>
          <w:i w:val="false"/>
          <w:sz w:val="20"/>
        </w:rPr>
        <w:t>发言人1：经济增长和稳定对银行来说至关重要，因为流动性风险与经济状况紧密相关。阶段性的流动性多寡往往由央行调控水龙头般的政策决定，如通过货币供应量来影响市场流动性水平。</w:t>
      </w:r>
    </w:p>
    <w:p>
      <w:r>
        <w:rPr>
          <w:rFonts w:ascii="等线(中文正文)" w:hAnsi="等线(中文正文)" w:cs="等线(中文正文)" w:eastAsia="等线(中文正文)"/>
          <w:b w:val="false"/>
          <w:i w:val="false"/>
          <w:sz w:val="20"/>
        </w:rPr>
        <w:t/>
      </w:r>
    </w:p>
    <w:p>
      <w:pPr>
        <w:pStyle w:val="ab"/>
      </w:pPr>
      <w:r>
        <w:t>央行投放流动性多寡受哪些因素影响？</w:t>
      </w:r>
    </w:p>
    <w:p>
      <w:r>
        <w:rPr>
          <w:rFonts w:ascii="等线(中文正文)" w:hAnsi="等线(中文正文)" w:cs="等线(中文正文)" w:eastAsia="等线(中文正文)"/>
          <w:b w:val="false"/>
          <w:i w:val="false"/>
          <w:sz w:val="20"/>
        </w:rPr>
        <w:t>发言人1：央行流动性投放的多寡不仅与主动政策决策有关，还可能受到一些指标压力的被动影响，其中外汇贷款市场的情况是其中一个关注点。但近年来，央行通过外汇贷款投放的流动性相对有限，不足以成为核心增长量。</w:t>
      </w:r>
    </w:p>
    <w:p>
      <w:r>
        <w:rPr>
          <w:rFonts w:ascii="等线(中文正文)" w:hAnsi="等线(中文正文)" w:cs="等线(中文正文)" w:eastAsia="等线(中文正文)"/>
          <w:b w:val="false"/>
          <w:i w:val="false"/>
          <w:sz w:val="20"/>
        </w:rPr>
        <w:t/>
      </w:r>
    </w:p>
    <w:p>
      <w:pPr>
        <w:pStyle w:val="ab"/>
      </w:pPr>
      <w:r>
        <w:t>如何看待财政在决定流动性中的作用？</w:t>
      </w:r>
    </w:p>
    <w:p>
      <w:r>
        <w:rPr>
          <w:rFonts w:ascii="等线(中文正文)" w:hAnsi="等线(中文正文)" w:cs="等线(中文正文)" w:eastAsia="等线(中文正文)"/>
          <w:b w:val="false"/>
          <w:i w:val="false"/>
          <w:sz w:val="20"/>
        </w:rPr>
        <w:t>发言人1：财政在决定流动性中扮演着“海绵”的角色，其发债行为会吸收一部分流动性，而在支出时又会挤出新的供给，从而影响整体流动性状况。</w:t>
      </w:r>
    </w:p>
    <w:p>
      <w:r>
        <w:rPr>
          <w:rFonts w:ascii="等线(中文正文)" w:hAnsi="等线(中文正文)" w:cs="等线(中文正文)" w:eastAsia="等线(中文正文)"/>
          <w:b w:val="false"/>
          <w:i w:val="false"/>
          <w:sz w:val="20"/>
        </w:rPr>
        <w:t/>
      </w:r>
    </w:p>
    <w:p>
      <w:pPr>
        <w:pStyle w:val="ab"/>
      </w:pPr>
      <w:r>
        <w:t>如何理解2026年的流动性变化？流动性整体分析框架是怎样的？</w:t>
      </w:r>
    </w:p>
    <w:p>
      <w:r>
        <w:rPr>
          <w:rFonts w:ascii="等线(中文正文)" w:hAnsi="等线(中文正文)" w:cs="等线(中文正文)" w:eastAsia="等线(中文正文)"/>
          <w:b w:val="false"/>
          <w:i w:val="false"/>
          <w:sz w:val="20"/>
        </w:rPr>
        <w:t>发言人1：2026年的流动性经历了三波变化，1月至5月或6月至5月呈现舒适偏松态势，这主要归因于央行投放较多及银行负债状况良好等因素。4月至5月出现极度松弛，6月则开始紧缩，原因包括央行回收流动性、信贷需求上升以及银行支付需求增大等。流动性整体分析框架包括识别货币政策方向、分析央行定方向时的微观细节以及使用高频数据观察机构行为等。对于机构行为分析，大行侧重于政策性和负债资产配置，中小行则更偏向交易性和受省联社影响，信贷投放受限时更多转向存单等回购品种。</w:t>
      </w:r>
    </w:p>
    <w:p>
      <w:r>
        <w:rPr>
          <w:rFonts w:ascii="等线(中文正文)" w:hAnsi="等线(中文正文)" w:cs="等线(中文正文)" w:eastAsia="等线(中文正文)"/>
          <w:b w:val="false"/>
          <w:i w:val="false"/>
          <w:sz w:val="20"/>
        </w:rPr>
        <w:t/>
      </w:r>
    </w:p>
    <w:p>
      <w:pPr>
        <w:pStyle w:val="ab"/>
      </w:pPr>
      <w:r>
        <w:t>分析微观层面流动性时应关注哪些核心指标？</w:t>
      </w:r>
    </w:p>
    <w:p>
      <w:r>
        <w:rPr>
          <w:rFonts w:ascii="等线(中文正文)" w:hAnsi="等线(中文正文)" w:cs="等线(中文正文)" w:eastAsia="等线(中文正文)"/>
          <w:b w:val="false"/>
          <w:i w:val="false"/>
          <w:sz w:val="20"/>
        </w:rPr>
        <w:t>发言人1：微观层面流动性分析主要围绕资金价格，如DR01等关键期限的指标。DR01等银行间资金价格受到供需关系影响，可通过观察大行与中小行之间的供需逻辑来判断。同时，还需关注诸如货币基金的GC指标、杠杆率计算、期限结构等微观细节。</w:t>
      </w:r>
    </w:p>
    <w:p>
      <w:r>
        <w:rPr>
          <w:rFonts w:ascii="等线(中文正文)" w:hAnsi="等线(中文正文)" w:cs="等线(中文正文)" w:eastAsia="等线(中文正文)"/>
          <w:b w:val="false"/>
          <w:i w:val="false"/>
          <w:sz w:val="20"/>
        </w:rPr>
        <w:t/>
      </w:r>
    </w:p>
    <w:p>
      <w:pPr>
        <w:pStyle w:val="ab"/>
      </w:pPr>
      <w:r>
        <w:t>农商行在负债管理上面临哪些挑战？</w:t>
      </w:r>
    </w:p>
    <w:p>
      <w:r>
        <w:rPr>
          <w:rFonts w:ascii="等线(中文正文)" w:hAnsi="等线(中文正文)" w:cs="等线(中文正文)" w:eastAsia="等线(中文正文)"/>
          <w:b w:val="false"/>
          <w:i w:val="false"/>
          <w:sz w:val="20"/>
        </w:rPr>
        <w:t>发言人1：农商行在负债管理上面临的主要挑战是由于缺乏像大行那样的央行支持，只能依靠自身手段获取资金，导致负债率变得越来越难控制。这种情况下，农商行会承受来自业绩指标的压力，比如出于业绩考核需求，在不同阶段可能倾向于购买短期或长期债券，例如20年期而非30年期债券。</w:t>
      </w:r>
    </w:p>
    <w:p>
      <w:r>
        <w:rPr>
          <w:rFonts w:ascii="等线(中文正文)" w:hAnsi="等线(中文正文)" w:cs="等线(中文正文)" w:eastAsia="等线(中文正文)"/>
          <w:b w:val="false"/>
          <w:i w:val="false"/>
          <w:sz w:val="20"/>
        </w:rPr>
        <w:t/>
      </w:r>
    </w:p>
    <w:p>
      <w:pPr>
        <w:pStyle w:val="ab"/>
      </w:pPr>
      <w:r>
        <w:t>对于农商行的资产配置，他们如何受制于业绩指标并进行决策？</w:t>
      </w:r>
    </w:p>
    <w:p>
      <w:r>
        <w:rPr>
          <w:rFonts w:ascii="等线(中文正文)" w:hAnsi="等线(中文正文)" w:cs="等线(中文正文)" w:eastAsia="等线(中文正文)"/>
          <w:b w:val="false"/>
          <w:i w:val="false"/>
          <w:sz w:val="20"/>
        </w:rPr>
        <w:t>发言人1：农商行在资产配置时会考虑到半年业绩报告的影响，并且要符合银行监管的要求，特别是对于久期较长的贷款产品的配置情况。例如，今年农商行可能会更偏好于20年期左右的资产配置，而保险公司则会关注保费以及投资久期，其中寿险可能会偏向于购买分红险种，且负债端主要是地方债和偿债等。</w:t>
      </w:r>
    </w:p>
    <w:p>
      <w:r>
        <w:rPr>
          <w:rFonts w:ascii="等线(中文正文)" w:hAnsi="等线(中文正文)" w:cs="等线(中文正文)" w:eastAsia="等线(中文正文)"/>
          <w:b w:val="false"/>
          <w:i w:val="false"/>
          <w:sz w:val="20"/>
        </w:rPr>
        <w:t/>
      </w:r>
    </w:p>
    <w:p>
      <w:pPr>
        <w:pStyle w:val="ab"/>
      </w:pPr>
      <w:r>
        <w:t>配置盘、交易盘以及理财板块在投资策略上有哪些特点？</w:t>
      </w:r>
    </w:p>
    <w:p>
      <w:r>
        <w:rPr>
          <w:rFonts w:ascii="等线(中文正文)" w:hAnsi="等线(中文正文)" w:cs="等线(中文正文)" w:eastAsia="等线(中文正文)"/>
          <w:b w:val="false"/>
          <w:i w:val="false"/>
          <w:sz w:val="20"/>
        </w:rPr>
        <w:t>发言人1：配置盘方面，理财投资注重规模增长，同时关注月度规模季节性变化以及申购端情况；交易盘中，券商的交易策略更多依赖于波动性，而非明确的方向性，例如在七月份上旬债券成交量较小，之后出现大幅波动。理财和券商的投资策略相对灵活，会根据市场行情和客户需求调整久期和杠杆策略。</w:t>
      </w:r>
    </w:p>
    <w:p>
      <w:r>
        <w:rPr>
          <w:rFonts w:ascii="等线(中文正文)" w:hAnsi="等线(中文正文)" w:cs="等线(中文正文)" w:eastAsia="等线(中文正文)"/>
          <w:b w:val="false"/>
          <w:i w:val="false"/>
          <w:sz w:val="20"/>
        </w:rPr>
        <w:t/>
      </w:r>
    </w:p>
    <w:p>
      <w:pPr>
        <w:pStyle w:val="ab"/>
      </w:pPr>
      <w:r>
        <w:t>如何从整体上分析各类机构的行为，并应用于债券投资策略？</w:t>
      </w:r>
    </w:p>
    <w:p>
      <w:r>
        <w:rPr>
          <w:rFonts w:ascii="等线(中文正文)" w:hAnsi="等线(中文正文)" w:cs="等线(中文正文)" w:eastAsia="等线(中文正文)"/>
          <w:b w:val="false"/>
          <w:i w:val="false"/>
          <w:sz w:val="20"/>
        </w:rPr>
        <w:t>发言人1：分析各类机构行为时，核心是从负债和资产两个视角进行分析，关注机构的负债结构、债权情况及资产买卖情况。在组合搭建时，可以根据市场行情灵活选择子弹、哑铃、阶梯或混合策略，并关注收益来源——票息、杠杆以及组合形态。</w:t>
      </w:r>
    </w:p>
    <w:p>
      <w:r>
        <w:rPr>
          <w:rFonts w:ascii="等线(中文正文)" w:hAnsi="等线(中文正文)" w:cs="等线(中文正文)" w:eastAsia="等线(中文正文)"/>
          <w:b w:val="false"/>
          <w:i w:val="false"/>
          <w:sz w:val="20"/>
        </w:rPr>
        <w:t/>
      </w:r>
    </w:p>
    <w:p>
      <w:pPr>
        <w:pStyle w:val="ab"/>
      </w:pPr>
      <w:r>
        <w:t>对于市场参与者来说，在当前低收益率环境下，如何制定投资策略？</w:t>
      </w:r>
    </w:p>
    <w:p>
      <w:r>
        <w:rPr>
          <w:rFonts w:ascii="等线(中文正文)" w:hAnsi="等线(中文正文)" w:cs="等线(中文正文)" w:eastAsia="等线(中文正文)"/>
          <w:b w:val="false"/>
          <w:i w:val="false"/>
          <w:sz w:val="20"/>
        </w:rPr>
        <w:t>发言人1：在当前收益率较低的环境下，投资者可能会倾向于减少对20-30年期债券的投资，转而关注信用债行情。对于不愿加大杠杆的投资者，可以采取97策略（即期限较短债券）；若对某个券种持有哑铃型策略，则需保持相对灵活；若对市场趋势判断不明确，则可采用跳息策略进行交易操作。</w:t>
      </w:r>
    </w:p>
    <w:p>
      <w:r>
        <w:rPr>
          <w:rFonts w:ascii="等线(中文正文)" w:hAnsi="等线(中文正文)" w:cs="等线(中文正文)" w:eastAsia="等线(中文正文)"/>
          <w:b w:val="false"/>
          <w:i w:val="false"/>
          <w:sz w:val="20"/>
        </w:rPr>
        <w:t/>
      </w:r>
    </w:p>
    <w:p>
      <w:pPr>
        <w:pStyle w:val="ab"/>
      </w:pPr>
      <w:r>
        <w:t>如何构建债券投资的分析框架，以及在市场中把握方向性和交易性机会？</w:t>
      </w:r>
    </w:p>
    <w:p>
      <w:r>
        <w:rPr>
          <w:rFonts w:ascii="等线(中文正文)" w:hAnsi="等线(中文正文)" w:cs="等线(中文正文)" w:eastAsia="等线(中文正文)"/>
          <w:b w:val="false"/>
          <w:i w:val="false"/>
          <w:sz w:val="20"/>
        </w:rPr>
        <w:t>发言人1：债券投资的分析框架主要围绕基本面、政策面、情绪面、供需面和技术面等方面展开。其中，从方向性角度看，需关注政策出台时对市场趋势的影响或拐点；交易性机会则基于数据公布当天预期与实际走势的对比，结合自身预测框架进行事件性交易操作。</w:t>
      </w:r>
    </w:p>
    <w:p>
      <w:r>
        <w:rPr>
          <w:rFonts w:ascii="等线(中文正文)" w:hAnsi="等线(中文正文)" w:cs="等线(中文正文)" w:eastAsia="等线(中文正文)"/>
          <w:b w:val="false"/>
          <w:i w:val="false"/>
          <w:sz w:val="20"/>
        </w:rPr>
        <w:t/>
      </w:r>
    </w:p>
    <w:p>
      <w:pPr>
        <w:pStyle w:val="ab"/>
      </w:pPr>
      <w:r>
        <w:t>政策研究对于券商和投资者有何重要意义？</w:t>
      </w:r>
    </w:p>
    <w:p>
      <w:r>
        <w:rPr>
          <w:rFonts w:ascii="等线(中文正文)" w:hAnsi="等线(中文正文)" w:cs="等线(中文正文)" w:eastAsia="等线(中文正文)"/>
          <w:b w:val="false"/>
          <w:i w:val="false"/>
          <w:sz w:val="20"/>
        </w:rPr>
        <w:t>发言人1：政策研究对于券商和投资者具有重要性，因为它能帮助跳出单一行业视角，全面理解政策背后的深层含义和逻辑。尤其在中国，很多政策具有自上而下的特性，对多个领域产生重大影响。通过深入研究政策，可以更好地研判政策走势，为投资决策提供支撑。</w:t>
      </w:r>
    </w:p>
    <w:p>
      <w:r>
        <w:rPr>
          <w:rFonts w:ascii="等线(中文正文)" w:hAnsi="等线(中文正文)" w:cs="等线(中文正文)" w:eastAsia="等线(中文正文)"/>
          <w:b w:val="false"/>
          <w:i w:val="false"/>
          <w:sz w:val="20"/>
        </w:rPr>
        <w:t/>
      </w:r>
    </w:p>
    <w:p>
      <w:pPr>
        <w:pStyle w:val="ab"/>
      </w:pPr>
      <w:r>
        <w:t>在研究政策时，为什么落地政策如此重要？政策可以分为哪几大类？</w:t>
      </w:r>
    </w:p>
    <w:p>
      <w:r>
        <w:rPr>
          <w:rFonts w:ascii="等线(中文正文)" w:hAnsi="等线(中文正文)" w:cs="等线(中文正文)" w:eastAsia="等线(中文正文)"/>
          <w:b w:val="false"/>
          <w:i w:val="false"/>
          <w:sz w:val="20"/>
        </w:rPr>
        <w:t>发言人1：落地政策非常重要，因为在政策实施过程中，往往会在地方层面遇到细化和执行的问题，即“最后一公里”困境。这些包括地方制定的具体实施细则、工作流程等细节，对政策能否有效执行起到关键作用。政策主要分为四大类：决策政策，如党的代表大会、政治局会议等，它们释放出关于未来宏观政策的重要信息；政局会议，如四月、七月、12月份的政治局会议，对经济问题进行讨论并影响增量信息；部署政策，比如全国人大通过法律以及中央政治局会议后国常会的具体部署；最后是落地政策，包括地方层面执行层面的配套设施和细则。</w:t>
      </w:r>
    </w:p>
    <w:p>
      <w:r>
        <w:rPr>
          <w:rFonts w:ascii="等线(中文正文)" w:hAnsi="等线(中文正文)" w:cs="等线(中文正文)" w:eastAsia="等线(中文正文)"/>
          <w:b w:val="false"/>
          <w:i w:val="false"/>
          <w:sz w:val="20"/>
        </w:rPr>
        <w:t/>
      </w:r>
    </w:p>
    <w:p>
      <w:pPr>
        <w:pStyle w:val="ab"/>
      </w:pPr>
      <w:r>
        <w:t>分析政策的方法有哪些？</w:t>
      </w:r>
    </w:p>
    <w:p>
      <w:r>
        <w:rPr>
          <w:rFonts w:ascii="等线(中文正文)" w:hAnsi="等线(中文正文)" w:cs="等线(中文正文)" w:eastAsia="等线(中文正文)"/>
          <w:b w:val="false"/>
          <w:i w:val="false"/>
          <w:sz w:val="20"/>
        </w:rPr>
        <w:t>发言人1：分析政策的方法通常与学术分析方法相似，包括博弈论比较、历史复盘以及实地调研。券商角度倾向于从一线上市公司、地方政府或协会进行一手调研，以印证案头工作并获取更深入的理解。</w:t>
      </w:r>
    </w:p>
    <w:p>
      <w:r>
        <w:rPr>
          <w:rFonts w:ascii="等线(中文正文)" w:hAnsi="等线(中文正文)" w:cs="等线(中文正文)" w:eastAsia="等线(中文正文)"/>
          <w:b w:val="false"/>
          <w:i w:val="false"/>
          <w:sz w:val="20"/>
        </w:rPr>
        <w:t/>
      </w:r>
    </w:p>
    <w:p>
      <w:pPr>
        <w:pStyle w:val="ab"/>
      </w:pPr>
      <w:r>
        <w:t>完整的政策周期包含哪些环节？</w:t>
      </w:r>
    </w:p>
    <w:p>
      <w:r>
        <w:rPr>
          <w:rFonts w:ascii="等线(中文正文)" w:hAnsi="等线(中文正文)" w:cs="等线(中文正文)" w:eastAsia="等线(中文正文)"/>
          <w:b w:val="false"/>
          <w:i w:val="false"/>
          <w:sz w:val="20"/>
        </w:rPr>
        <w:t>发言人1：一个完整的政策周期主要包括酝酿、研究、制定、实施、评估和终结等六个环节，整个过程可能持续数年，且不同政策在各个环节所需的时间各异。</w:t>
      </w:r>
    </w:p>
    <w:p>
      <w:r>
        <w:rPr>
          <w:rFonts w:ascii="等线(中文正文)" w:hAnsi="等线(中文正文)" w:cs="等线(中文正文)" w:eastAsia="等线(中文正文)"/>
          <w:b w:val="false"/>
          <w:i w:val="false"/>
          <w:sz w:val="20"/>
        </w:rPr>
        <w:t/>
      </w:r>
    </w:p>
    <w:p>
      <w:pPr>
        <w:pStyle w:val="ab"/>
      </w:pPr>
      <w:r>
        <w:t>政策出台是否会有突然性？</w:t>
      </w:r>
    </w:p>
    <w:p>
      <w:r>
        <w:rPr>
          <w:rFonts w:ascii="等线(中文正文)" w:hAnsi="等线(中文正文)" w:cs="等线(中文正文)" w:eastAsia="等线(中文正文)"/>
          <w:b w:val="false"/>
          <w:i w:val="false"/>
          <w:sz w:val="20"/>
        </w:rPr>
        <w:t>发言人1：政策并非总是突然出台，而是经过长期深入的研究、部署和论证。例如，重大政策如统一大市场并非为解决某一临时事件而制定，而是基于中长期考虑。</w:t>
      </w:r>
    </w:p>
    <w:p>
      <w:r>
        <w:rPr>
          <w:rFonts w:ascii="等线(中文正文)" w:hAnsi="等线(中文正文)" w:cs="等线(中文正文)" w:eastAsia="等线(中文正文)"/>
          <w:b w:val="false"/>
          <w:i w:val="false"/>
          <w:sz w:val="20"/>
        </w:rPr>
        <w:t/>
      </w:r>
    </w:p>
    <w:p>
      <w:pPr>
        <w:pStyle w:val="ab"/>
      </w:pPr>
      <w:r>
        <w:t>做好政策研究的价值体现在哪些方面？</w:t>
      </w:r>
    </w:p>
    <w:p>
      <w:r>
        <w:rPr>
          <w:rFonts w:ascii="等线(中文正文)" w:hAnsi="等线(中文正文)" w:cs="等线(中文正文)" w:eastAsia="等线(中文正文)"/>
          <w:b w:val="false"/>
          <w:i w:val="false"/>
          <w:sz w:val="20"/>
        </w:rPr>
        <w:t>发言人1：做好政策研究的价值在于事前准确预测和事后有效解读政策。事前预测能帮助投资者布局、规避风险或获取超额收益；事后解读则有助于正确理解政策意图，调整投资策略。</w:t>
      </w:r>
    </w:p>
    <w:p>
      <w:r>
        <w:rPr>
          <w:rFonts w:ascii="等线(中文正文)" w:hAnsi="等线(中文正文)" w:cs="等线(中文正文)" w:eastAsia="等线(中文正文)"/>
          <w:b w:val="false"/>
          <w:i w:val="false"/>
          <w:sz w:val="20"/>
        </w:rPr>
        <w:t/>
      </w:r>
    </w:p>
    <w:p>
      <w:pPr>
        <w:pStyle w:val="ab"/>
      </w:pPr>
      <w:r>
        <w:t>政策影响市场的途径有哪些？</w:t>
      </w:r>
    </w:p>
    <w:p>
      <w:r>
        <w:rPr>
          <w:rFonts w:ascii="等线(中文正文)" w:hAnsi="等线(中文正文)" w:cs="等线(中文正文)" w:eastAsia="等线(中文正文)"/>
          <w:b w:val="false"/>
          <w:i w:val="false"/>
          <w:sz w:val="20"/>
        </w:rPr>
        <w:t>发言人1：政策影响市场的途径主要包括调整市场流动性（如降准降息）、对特定行业提供财政货币支持、税收优惠等，以及情绪面的影响，重大政策或事件爆发会对资本市场产生显著影响。</w:t>
      </w:r>
    </w:p>
    <w:p>
      <w:r>
        <w:rPr>
          <w:rFonts w:ascii="等线(中文正文)" w:hAnsi="等线(中文正文)" w:cs="等线(中文正文)" w:eastAsia="等线(中文正文)"/>
          <w:b w:val="false"/>
          <w:i w:val="false"/>
          <w:sz w:val="20"/>
        </w:rPr>
        <w:t/>
      </w:r>
    </w:p>
    <w:p>
      <w:pPr>
        <w:pStyle w:val="ab"/>
      </w:pPr>
      <w:r>
        <w:t>对于政策研究，如何避免误解和片面解读？</w:t>
      </w:r>
    </w:p>
    <w:p>
      <w:r>
        <w:rPr>
          <w:rFonts w:ascii="等线(中文正文)" w:hAnsi="等线(中文正文)" w:cs="等线(中文正文)" w:eastAsia="等线(中文正文)"/>
          <w:b w:val="false"/>
          <w:i w:val="false"/>
          <w:sz w:val="20"/>
        </w:rPr>
        <w:t>发言人1：在政策研究中，应做到全面准确全面地理解政策，避免以偏概全或错片片面解读；准确把握政策制定的逻辑和内涵，不受外围市场影响或情绪化影响；并从政策决策者角度理解政策方向，而非仅从自身投资逻辑或期望出发解读政策。</w:t>
      </w:r>
    </w:p>
    <w:p>
      <w:r>
        <w:rPr>
          <w:rFonts w:ascii="等线(中文正文)" w:hAnsi="等线(中文正文)" w:cs="等线(中文正文)" w:eastAsia="等线(中文正文)"/>
          <w:b w:val="false"/>
          <w:i w:val="false"/>
          <w:sz w:val="20"/>
        </w:rPr>
        <w:t/>
      </w:r>
    </w:p>
    <w:p>
      <w:pPr>
        <w:pStyle w:val="ab"/>
      </w:pPr>
      <w:r>
        <w:t>在当前环境下，如何判断未来政策出台的力度、节奏和幅度是否超预期？</w:t>
      </w:r>
    </w:p>
    <w:p>
      <w:r>
        <w:rPr>
          <w:rFonts w:ascii="等线(中文正文)" w:hAnsi="等线(中文正文)" w:cs="等线(中文正文)" w:eastAsia="等线(中文正文)"/>
          <w:b w:val="false"/>
          <w:i w:val="false"/>
          <w:sz w:val="20"/>
        </w:rPr>
        <w:t>发言人1：判断未来政策力度、节奏和幅度是否超预期，主要依据三个维度六大指标。首先，从信息关注度来看，如果涉及房地产、资本市场、出口等宏观性压力的领域关注度较高，并且政府有针对性地出台政策以稳定这些市场，那么政策信号是明确且重要的。其次，观察政策发布的频率，比如短时间内连续发布相关政策，释放出强烈的政策意图信号。最后，关注突发性指标变化。当这三个维度或六个指标中的多个实现时，预示着未来政策的力度可能较大，超出市场预期。</w:t>
      </w:r>
    </w:p>
    <w:p>
      <w:r>
        <w:rPr>
          <w:rFonts w:ascii="等线(中文正文)" w:hAnsi="等线(中文正文)" w:cs="等线(中文正文)" w:eastAsia="等线(中文正文)"/>
          <w:b w:val="false"/>
          <w:i w:val="false"/>
          <w:sz w:val="20"/>
        </w:rPr>
        <w:t/>
      </w:r>
    </w:p>
    <w:p>
      <w:pPr>
        <w:pStyle w:val="ab"/>
      </w:pPr>
      <w:r>
        <w:t>如何解读党政公安报告中的政策信息？</w:t>
      </w:r>
    </w:p>
    <w:p>
      <w:r>
        <w:rPr>
          <w:rFonts w:ascii="等线(中文正文)" w:hAnsi="等线(中文正文)" w:cs="等线(中文正文)" w:eastAsia="等线(中文正文)"/>
          <w:b w:val="false"/>
          <w:i w:val="false"/>
          <w:sz w:val="20"/>
        </w:rPr>
        <w:t>发言人1：解读党政公安报告时，可以从几个关键角度入手。一是出现频次，即高频出现的词汇和概念往往预示着未来政策发展的重点方向，例如更多关于科技创新和发展的表述可能表明相关政策将更为频繁出台。二是首次出现的词汇或概念，它们的首次出现通常意味着相关政策具有较高的迫切性和明确的走势。三是从措辞和程度上分析政策力度，比如从“必须积极”到“审慎”的变化，可以反映出政策出台的不同迫切性和维度。</w:t>
      </w:r>
    </w:p>
    <w:p>
      <w:r>
        <w:rPr>
          <w:rFonts w:ascii="等线(中文正文)" w:hAnsi="等线(中文正文)" w:cs="等线(中文正文)" w:eastAsia="等线(中文正文)"/>
          <w:b w:val="false"/>
          <w:i w:val="false"/>
          <w:sz w:val="20"/>
        </w:rPr>
        <w:t/>
      </w:r>
    </w:p>
    <w:p>
      <w:pPr>
        <w:pStyle w:val="ab"/>
      </w:pPr>
      <w:r>
        <w:t>能否举例说明政策变化对经济金融环境的具体影响？</w:t>
      </w:r>
    </w:p>
    <w:p>
      <w:r>
        <w:rPr>
          <w:rFonts w:ascii="等线(中文正文)" w:hAnsi="等线(中文正文)" w:cs="等线(中文正文)" w:eastAsia="等线(中文正文)"/>
          <w:b w:val="false"/>
          <w:i w:val="false"/>
          <w:sz w:val="20"/>
        </w:rPr>
        <w:t>发言人1：以2023年为例，当时中国经济金融会议提出将社融排在货币供应之前，这表明官方认为社融与经济增长关系更为密切，未来将更加关注社融指标而非货币供应量。此外，将名义经济增长的增速改为经济增长和价格水平预期目标，显示出价格水平维稳成为重要调控目标，这也与当前CPI、PPI的积极变化相吻合。</w:t>
      </w:r>
    </w:p>
    <w:p>
      <w:r>
        <w:rPr>
          <w:rFonts w:ascii="等线(中文正文)" w:hAnsi="等线(中文正文)" w:cs="等线(中文正文)" w:eastAsia="等线(中文正文)"/>
          <w:b w:val="false"/>
          <w:i w:val="false"/>
          <w:sz w:val="20"/>
        </w:rPr>
        <w:t/>
      </w:r>
    </w:p>
    <w:p>
      <w:pPr>
        <w:pStyle w:val="ab"/>
      </w:pPr>
      <w:r>
        <w:t>历史上924政策出台后的行业表现有何特征？</w:t>
      </w:r>
    </w:p>
    <w:p>
      <w:r>
        <w:rPr>
          <w:rFonts w:ascii="等线(中文正文)" w:hAnsi="等线(中文正文)" w:cs="等线(中文正文)" w:eastAsia="等线(中文正文)"/>
          <w:b w:val="false"/>
          <w:i w:val="false"/>
          <w:sz w:val="20"/>
        </w:rPr>
        <w:t>发言人1：回顾14年的924政策，它是一个典型的宏观经济和资本市场支持组合拳。政策出台后，超过上涨行业普遍超过下跌行业，即政策有利于补涨；部分行业表现出明显的顺周期特征；同时，投机主线与市场热点高度相关。以2008年和2022年为例，在政策出台前后，均有类似特征，即部分行业在政策出台后实现了超额上涨，且这些行业的市盈率变化也具有参考价值。</w:t>
      </w:r>
    </w:p>
    <w:p>
      <w:r>
        <w:rPr>
          <w:rFonts w:ascii="等线(中文正文)" w:hAnsi="等线(中文正文)" w:cs="等线(中文正文)" w:eastAsia="等线(中文正文)"/>
          <w:b w:val="false"/>
          <w:i w:val="false"/>
          <w:sz w:val="20"/>
        </w:rPr>
        <w:t/>
      </w:r>
    </w:p>
    <w:p>
      <w:pPr>
        <w:pStyle w:val="ab"/>
      </w:pPr>
      <w:r>
        <w:t>团队如何量化分析政策对投资决策的影响？</w:t>
      </w:r>
    </w:p>
    <w:p>
      <w:r>
        <w:rPr>
          <w:rFonts w:ascii="等线(中文正文)" w:hAnsi="等线(中文正文)" w:cs="等线(中文正文)" w:eastAsia="等线(中文正文)"/>
          <w:b w:val="false"/>
          <w:i w:val="false"/>
          <w:sz w:val="20"/>
        </w:rPr>
        <w:t>发言人1：团队通过构建词库、文本采集指数、模型构建和数据分析等方式，对政策进行梳理、量化和排序，以便于从决策类政策、部署类政策、落实类政策等多个维度给予政策级别不同的权重。此外，还根据政策时效性赋予相应权重，从而为投资决策提供客观的政策评价依据。目前，团队已经初步梳理出三五个行业供投资者参考，后续可继续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2026-08-10T16:05:53Z</dcterms:created>
  <dc:creator>Apache POI</dc:creator>
</cp:coreProperties>
</file>